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0"/>
        <w:gridCol w:w="7120"/>
      </w:tblGrid>
      <w:tr w:rsidR="00B7577C" w:rsidRPr="003507CA" w14:paraId="6D6AD639" w14:textId="77777777" w:rsidTr="001D1DD2">
        <w:tc>
          <w:tcPr>
            <w:tcW w:w="9000" w:type="dxa"/>
            <w:gridSpan w:val="2"/>
            <w:tcMar>
              <w:top w:w="43" w:type="dxa"/>
              <w:left w:w="0" w:type="dxa"/>
              <w:bottom w:w="43" w:type="dxa"/>
              <w:right w:w="0" w:type="dxa"/>
            </w:tcMar>
          </w:tcPr>
          <w:p w14:paraId="36015D73" w14:textId="77777777" w:rsidR="00B7577C" w:rsidRPr="003507CA" w:rsidRDefault="00B7577C" w:rsidP="003507CA">
            <w:pPr>
              <w:spacing w:line="240" w:lineRule="auto"/>
              <w:rPr>
                <w:rFonts w:asciiTheme="minorHAnsi" w:hAnsiTheme="minorHAnsi" w:cstheme="minorHAnsi"/>
                <w:sz w:val="22"/>
                <w:szCs w:val="22"/>
              </w:rPr>
            </w:pPr>
            <w:r w:rsidRPr="003507CA">
              <w:rPr>
                <w:rFonts w:asciiTheme="minorHAnsi" w:hAnsiTheme="minorHAnsi" w:cstheme="minorHAnsi"/>
                <w:sz w:val="20"/>
                <w:szCs w:val="22"/>
              </w:rP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3507CA" w14:paraId="6A0BADB7" w14:textId="77777777" w:rsidTr="001D1DD2">
        <w:tc>
          <w:tcPr>
            <w:tcW w:w="1880" w:type="dxa"/>
            <w:tcMar>
              <w:top w:w="43" w:type="dxa"/>
              <w:left w:w="0" w:type="dxa"/>
              <w:bottom w:w="43" w:type="dxa"/>
              <w:right w:w="0" w:type="dxa"/>
            </w:tcMar>
          </w:tcPr>
          <w:p w14:paraId="36A9338E"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 xml:space="preserve">Project Number: </w:t>
            </w:r>
          </w:p>
        </w:tc>
        <w:tc>
          <w:tcPr>
            <w:tcW w:w="7120" w:type="dxa"/>
            <w:tcMar>
              <w:top w:w="43" w:type="dxa"/>
              <w:left w:w="0" w:type="dxa"/>
              <w:bottom w:w="43" w:type="dxa"/>
              <w:right w:w="0" w:type="dxa"/>
            </w:tcMar>
          </w:tcPr>
          <w:p w14:paraId="142BA954" w14:textId="77777777" w:rsidR="00335A26" w:rsidRPr="003507CA" w:rsidRDefault="00335A26" w:rsidP="003507CA">
            <w:pPr>
              <w:spacing w:line="240" w:lineRule="auto"/>
              <w:rPr>
                <w:rFonts w:asciiTheme="minorHAnsi" w:hAnsiTheme="minorHAnsi" w:cstheme="minorHAnsi"/>
                <w:sz w:val="22"/>
                <w:szCs w:val="22"/>
              </w:rPr>
            </w:pPr>
          </w:p>
        </w:tc>
      </w:tr>
      <w:tr w:rsidR="009D5AFE" w:rsidRPr="003507CA" w14:paraId="7466C31C" w14:textId="77777777" w:rsidTr="001D1DD2">
        <w:tc>
          <w:tcPr>
            <w:tcW w:w="1880" w:type="dxa"/>
            <w:tcMar>
              <w:top w:w="43" w:type="dxa"/>
              <w:left w:w="0" w:type="dxa"/>
              <w:bottom w:w="43" w:type="dxa"/>
              <w:right w:w="0" w:type="dxa"/>
            </w:tcMar>
          </w:tcPr>
          <w:p w14:paraId="5D143A24" w14:textId="77777777" w:rsidR="00335A26" w:rsidRPr="003507CA" w:rsidRDefault="00335A26"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 xml:space="preserve">Project Title: </w:t>
            </w:r>
          </w:p>
        </w:tc>
        <w:tc>
          <w:tcPr>
            <w:tcW w:w="7120" w:type="dxa"/>
            <w:tcMar>
              <w:top w:w="43" w:type="dxa"/>
              <w:left w:w="0" w:type="dxa"/>
              <w:bottom w:w="43" w:type="dxa"/>
              <w:right w:w="0" w:type="dxa"/>
            </w:tcMar>
          </w:tcPr>
          <w:p w14:paraId="6C077029" w14:textId="160064E6" w:rsidR="00335A26" w:rsidRPr="003507CA" w:rsidRDefault="00761C7A" w:rsidP="003507CA">
            <w:pPr>
              <w:spacing w:line="240" w:lineRule="auto"/>
              <w:rPr>
                <w:rFonts w:asciiTheme="minorHAnsi" w:hAnsiTheme="minorHAnsi" w:cstheme="minorHAnsi"/>
                <w:sz w:val="22"/>
                <w:szCs w:val="22"/>
              </w:rPr>
            </w:pPr>
            <w:r>
              <w:rPr>
                <w:rFonts w:asciiTheme="minorHAnsi" w:hAnsiTheme="minorHAnsi" w:cstheme="minorHAnsi"/>
                <w:sz w:val="22"/>
                <w:szCs w:val="22"/>
              </w:rPr>
              <w:t>Whole Soy Food Acceptability and Market Viability Study</w:t>
            </w:r>
          </w:p>
        </w:tc>
      </w:tr>
      <w:tr w:rsidR="009D5AFE" w:rsidRPr="003507CA" w14:paraId="19040630" w14:textId="77777777" w:rsidTr="001D1DD2">
        <w:tc>
          <w:tcPr>
            <w:tcW w:w="1880" w:type="dxa"/>
            <w:tcMar>
              <w:top w:w="43" w:type="dxa"/>
              <w:left w:w="0" w:type="dxa"/>
              <w:bottom w:w="43" w:type="dxa"/>
              <w:right w:w="0" w:type="dxa"/>
            </w:tcMar>
          </w:tcPr>
          <w:p w14:paraId="255810DE" w14:textId="77777777" w:rsidR="00335A26" w:rsidRPr="003507CA" w:rsidRDefault="00FF4F4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Organization</w:t>
            </w:r>
            <w:r w:rsidR="00335A26" w:rsidRPr="003507CA">
              <w:rPr>
                <w:rFonts w:asciiTheme="minorHAnsi" w:hAnsiTheme="minorHAnsi" w:cstheme="minorHAnsi"/>
                <w:color w:val="auto"/>
                <w:sz w:val="22"/>
                <w:szCs w:val="22"/>
              </w:rPr>
              <w:t xml:space="preserve">: </w:t>
            </w:r>
          </w:p>
        </w:tc>
        <w:tc>
          <w:tcPr>
            <w:tcW w:w="7120" w:type="dxa"/>
            <w:tcMar>
              <w:top w:w="43" w:type="dxa"/>
              <w:left w:w="0" w:type="dxa"/>
              <w:bottom w:w="43" w:type="dxa"/>
              <w:right w:w="0" w:type="dxa"/>
            </w:tcMar>
          </w:tcPr>
          <w:p w14:paraId="3E8BECB1" w14:textId="50C4C393" w:rsidR="00335A26" w:rsidRPr="003507CA" w:rsidRDefault="00761C7A" w:rsidP="003507CA">
            <w:pPr>
              <w:spacing w:line="240" w:lineRule="auto"/>
              <w:rPr>
                <w:rFonts w:asciiTheme="minorHAnsi" w:hAnsiTheme="minorHAnsi" w:cstheme="minorHAnsi"/>
                <w:sz w:val="22"/>
                <w:szCs w:val="22"/>
              </w:rPr>
            </w:pPr>
            <w:r>
              <w:rPr>
                <w:rFonts w:asciiTheme="minorHAnsi" w:hAnsiTheme="minorHAnsi" w:cstheme="minorHAnsi"/>
                <w:sz w:val="22"/>
                <w:szCs w:val="22"/>
              </w:rPr>
              <w:t>B &amp; B Legacy Farms, LLC</w:t>
            </w:r>
          </w:p>
        </w:tc>
      </w:tr>
      <w:tr w:rsidR="009D5AFE" w:rsidRPr="003507CA" w14:paraId="24921CE5" w14:textId="77777777" w:rsidTr="001D1DD2">
        <w:tc>
          <w:tcPr>
            <w:tcW w:w="1880" w:type="dxa"/>
            <w:tcMar>
              <w:top w:w="43" w:type="dxa"/>
              <w:left w:w="0" w:type="dxa"/>
              <w:bottom w:w="43" w:type="dxa"/>
              <w:right w:w="0" w:type="dxa"/>
            </w:tcMar>
          </w:tcPr>
          <w:p w14:paraId="4A6E28A4" w14:textId="77777777" w:rsidR="00335A26" w:rsidRPr="003507CA" w:rsidRDefault="008457BA" w:rsidP="003507CA">
            <w:pPr>
              <w:pStyle w:val="Heading2"/>
              <w:keepNext w:val="0"/>
              <w:numPr>
                <w:ilvl w:val="0"/>
                <w:numId w:val="0"/>
              </w:numPr>
              <w:spacing w:after="0"/>
              <w:ind w:left="576" w:hanging="576"/>
              <w:outlineLvl w:val="1"/>
              <w:rPr>
                <w:rFonts w:asciiTheme="minorHAnsi" w:hAnsiTheme="minorHAnsi" w:cstheme="minorHAnsi"/>
                <w:i/>
                <w:color w:val="auto"/>
                <w:sz w:val="22"/>
                <w:szCs w:val="22"/>
              </w:rPr>
            </w:pPr>
            <w:r w:rsidRPr="003507CA">
              <w:rPr>
                <w:rFonts w:asciiTheme="minorHAnsi" w:hAnsiTheme="minorHAnsi" w:cstheme="minorHAnsi"/>
                <w:color w:val="auto"/>
                <w:sz w:val="22"/>
                <w:szCs w:val="22"/>
              </w:rPr>
              <w:t>Project</w:t>
            </w:r>
            <w:r w:rsidR="00FF4F4F" w:rsidRPr="003507CA">
              <w:rPr>
                <w:rFonts w:asciiTheme="minorHAnsi" w:hAnsiTheme="minorHAnsi" w:cstheme="minorHAnsi"/>
                <w:color w:val="auto"/>
                <w:sz w:val="22"/>
                <w:szCs w:val="22"/>
              </w:rPr>
              <w:t xml:space="preserve"> </w:t>
            </w:r>
            <w:r w:rsidRPr="003507CA">
              <w:rPr>
                <w:rFonts w:asciiTheme="minorHAnsi" w:hAnsiTheme="minorHAnsi" w:cstheme="minorHAnsi"/>
                <w:color w:val="auto"/>
                <w:sz w:val="22"/>
                <w:szCs w:val="22"/>
              </w:rPr>
              <w:t>Lead</w:t>
            </w:r>
            <w:r w:rsidR="00FF4F4F" w:rsidRPr="003507CA">
              <w:rPr>
                <w:rFonts w:asciiTheme="minorHAnsi" w:hAnsiTheme="minorHAnsi" w:cstheme="minorHAnsi"/>
                <w:color w:val="auto"/>
                <w:sz w:val="22"/>
                <w:szCs w:val="22"/>
              </w:rPr>
              <w:t xml:space="preserve"> Name:</w:t>
            </w:r>
          </w:p>
        </w:tc>
        <w:tc>
          <w:tcPr>
            <w:tcW w:w="7120" w:type="dxa"/>
            <w:tcMar>
              <w:top w:w="43" w:type="dxa"/>
              <w:left w:w="0" w:type="dxa"/>
              <w:bottom w:w="43" w:type="dxa"/>
              <w:right w:w="0" w:type="dxa"/>
            </w:tcMar>
          </w:tcPr>
          <w:p w14:paraId="7F1A072C" w14:textId="1879D8CB" w:rsidR="00335A26" w:rsidRPr="003507CA" w:rsidRDefault="00761C7A" w:rsidP="003507CA">
            <w:pPr>
              <w:spacing w:line="240" w:lineRule="auto"/>
              <w:rPr>
                <w:rFonts w:asciiTheme="minorHAnsi" w:hAnsiTheme="minorHAnsi" w:cstheme="minorHAnsi"/>
                <w:sz w:val="22"/>
                <w:szCs w:val="22"/>
              </w:rPr>
            </w:pPr>
            <w:r>
              <w:rPr>
                <w:rFonts w:asciiTheme="minorHAnsi" w:hAnsiTheme="minorHAnsi" w:cstheme="minorHAnsi"/>
                <w:sz w:val="22"/>
                <w:szCs w:val="22"/>
              </w:rPr>
              <w:t>Karen Ballard</w:t>
            </w:r>
          </w:p>
        </w:tc>
      </w:tr>
      <w:tr w:rsidR="00B7577C" w:rsidRPr="003507CA" w14:paraId="52518465" w14:textId="77777777" w:rsidTr="001D1DD2">
        <w:tc>
          <w:tcPr>
            <w:tcW w:w="1880" w:type="dxa"/>
            <w:tcMar>
              <w:top w:w="43" w:type="dxa"/>
              <w:left w:w="0" w:type="dxa"/>
              <w:bottom w:w="43" w:type="dxa"/>
              <w:right w:w="0" w:type="dxa"/>
            </w:tcMar>
          </w:tcPr>
          <w:p w14:paraId="146B450D" w14:textId="77777777" w:rsidR="00B7577C" w:rsidRPr="003507CA" w:rsidRDefault="007C520F" w:rsidP="003507CA">
            <w:pPr>
              <w:pStyle w:val="Heading2"/>
              <w:keepNext w:val="0"/>
              <w:numPr>
                <w:ilvl w:val="0"/>
                <w:numId w:val="0"/>
              </w:numPr>
              <w:spacing w:after="0"/>
              <w:ind w:left="576" w:hanging="576"/>
              <w:outlineLvl w:val="1"/>
              <w:rPr>
                <w:rFonts w:asciiTheme="minorHAnsi" w:hAnsiTheme="minorHAnsi" w:cstheme="minorHAnsi"/>
                <w:color w:val="auto"/>
                <w:sz w:val="22"/>
                <w:szCs w:val="22"/>
              </w:rPr>
            </w:pPr>
            <w:r w:rsidRPr="003507CA">
              <w:rPr>
                <w:rFonts w:asciiTheme="minorHAnsi" w:hAnsiTheme="minorHAnsi" w:cstheme="minorHAnsi"/>
                <w:color w:val="auto"/>
                <w:sz w:val="22"/>
                <w:szCs w:val="22"/>
              </w:rPr>
              <w:t>Report Date</w:t>
            </w:r>
            <w:r w:rsidR="00B7577C" w:rsidRPr="003507CA">
              <w:rPr>
                <w:rFonts w:asciiTheme="minorHAnsi" w:hAnsiTheme="minorHAnsi" w:cstheme="minorHAnsi"/>
                <w:color w:val="auto"/>
                <w:sz w:val="22"/>
                <w:szCs w:val="22"/>
              </w:rPr>
              <w:t>:</w:t>
            </w:r>
          </w:p>
        </w:tc>
        <w:tc>
          <w:tcPr>
            <w:tcW w:w="7120" w:type="dxa"/>
            <w:tcMar>
              <w:top w:w="43" w:type="dxa"/>
              <w:left w:w="0" w:type="dxa"/>
              <w:bottom w:w="43" w:type="dxa"/>
              <w:right w:w="0" w:type="dxa"/>
            </w:tcMar>
          </w:tcPr>
          <w:p w14:paraId="7244BE9D" w14:textId="3F86059C" w:rsidR="00B7577C" w:rsidRPr="003507CA" w:rsidRDefault="00761C7A" w:rsidP="003507CA">
            <w:pPr>
              <w:spacing w:line="240" w:lineRule="auto"/>
              <w:rPr>
                <w:rFonts w:asciiTheme="minorHAnsi" w:hAnsiTheme="minorHAnsi" w:cstheme="minorHAnsi"/>
                <w:sz w:val="22"/>
                <w:szCs w:val="22"/>
              </w:rPr>
            </w:pPr>
            <w:r>
              <w:rPr>
                <w:rFonts w:asciiTheme="minorHAnsi" w:hAnsiTheme="minorHAnsi" w:cstheme="minorHAnsi"/>
                <w:sz w:val="22"/>
                <w:szCs w:val="22"/>
              </w:rPr>
              <w:t xml:space="preserve">June 15, 2022 </w:t>
            </w:r>
          </w:p>
        </w:tc>
      </w:tr>
      <w:tr w:rsidR="00957DE7" w:rsidRPr="003507CA" w14:paraId="6A338B8A" w14:textId="77777777" w:rsidTr="001D1DD2">
        <w:tc>
          <w:tcPr>
            <w:tcW w:w="9000" w:type="dxa"/>
            <w:gridSpan w:val="2"/>
            <w:shd w:val="clear" w:color="auto" w:fill="FFFF99"/>
            <w:tcMar>
              <w:top w:w="43" w:type="dxa"/>
              <w:left w:w="0" w:type="dxa"/>
              <w:bottom w:w="43" w:type="dxa"/>
              <w:right w:w="0" w:type="dxa"/>
            </w:tcMar>
          </w:tcPr>
          <w:p w14:paraId="1C50FE2B" w14:textId="77777777" w:rsidR="00957DE7" w:rsidRPr="003507CA" w:rsidRDefault="00957DE7" w:rsidP="004307E6">
            <w:pPr>
              <w:tabs>
                <w:tab w:val="left" w:pos="358"/>
              </w:tabs>
              <w:spacing w:line="240" w:lineRule="auto"/>
              <w:rPr>
                <w:rFonts w:asciiTheme="minorHAnsi" w:hAnsiTheme="minorHAnsi" w:cstheme="minorHAnsi"/>
                <w:sz w:val="22"/>
                <w:szCs w:val="22"/>
              </w:rPr>
            </w:pPr>
            <w:r w:rsidRPr="003507CA">
              <w:rPr>
                <w:rFonts w:asciiTheme="minorHAnsi" w:eastAsia="MS Gothic" w:hAnsiTheme="minorHAnsi" w:cstheme="minorHAnsi"/>
                <w:b/>
                <w:sz w:val="16"/>
                <w:szCs w:val="22"/>
              </w:rPr>
              <w:t>National Soybean Checkoff Research Database</w:t>
            </w:r>
            <w:r w:rsidRPr="003507CA">
              <w:rPr>
                <w:rFonts w:asciiTheme="minorHAnsi" w:hAnsiTheme="minorHAnsi" w:cstheme="minorHAnsi"/>
                <w:b/>
                <w:sz w:val="16"/>
                <w:szCs w:val="22"/>
              </w:rPr>
              <w:t xml:space="preserve"> </w:t>
            </w:r>
            <w:hyperlink r:id="rId8" w:history="1">
              <w:r w:rsidRPr="003507CA">
                <w:rPr>
                  <w:rFonts w:asciiTheme="minorHAnsi" w:hAnsiTheme="minorHAnsi" w:cstheme="minorHAnsi"/>
                  <w:b/>
                  <w:color w:val="0000FF"/>
                  <w:sz w:val="16"/>
                  <w:szCs w:val="22"/>
                  <w:u w:val="single"/>
                </w:rPr>
                <w:t>https://www.soybeanresearchdata.com/</w:t>
              </w:r>
            </w:hyperlink>
            <w:r w:rsidRPr="003507CA">
              <w:rPr>
                <w:rFonts w:asciiTheme="minorHAnsi" w:hAnsiTheme="minorHAnsi" w:cstheme="minorHAnsi"/>
                <w:b/>
                <w:sz w:val="16"/>
                <w:szCs w:val="22"/>
              </w:rPr>
              <w:t xml:space="preserve"> (public</w:t>
            </w:r>
            <w:r w:rsidR="00E24EB0" w:rsidRPr="003507CA">
              <w:rPr>
                <w:rFonts w:asciiTheme="minorHAnsi" w:hAnsiTheme="minorHAnsi" w:cstheme="minorHAnsi"/>
                <w:b/>
                <w:sz w:val="16"/>
                <w:szCs w:val="22"/>
              </w:rPr>
              <w:t xml:space="preserve"> website funded by USB</w:t>
            </w:r>
            <w:r w:rsidR="00657693" w:rsidRPr="003507CA">
              <w:rPr>
                <w:rFonts w:asciiTheme="minorHAnsi" w:hAnsiTheme="minorHAnsi" w:cstheme="minorHAnsi"/>
                <w:b/>
                <w:sz w:val="16"/>
                <w:szCs w:val="22"/>
              </w:rPr>
              <w:t>)</w:t>
            </w:r>
            <w:r w:rsidR="00E24EB0" w:rsidRPr="003507CA">
              <w:rPr>
                <w:rFonts w:asciiTheme="minorHAnsi" w:hAnsiTheme="minorHAnsi" w:cstheme="minorHAnsi"/>
                <w:b/>
                <w:sz w:val="16"/>
                <w:szCs w:val="22"/>
              </w:rPr>
              <w:t xml:space="preserve">.  </w:t>
            </w:r>
            <w:r w:rsidR="00657693" w:rsidRPr="003507CA">
              <w:rPr>
                <w:rFonts w:asciiTheme="minorHAnsi" w:hAnsiTheme="minorHAnsi" w:cstheme="minorHAnsi"/>
                <w:b/>
                <w:sz w:val="16"/>
                <w:szCs w:val="22"/>
              </w:rPr>
              <w:t xml:space="preserve">Please </w:t>
            </w:r>
            <w:r w:rsidR="00685ED5">
              <w:rPr>
                <w:rFonts w:asciiTheme="minorHAnsi" w:hAnsiTheme="minorHAnsi" w:cstheme="minorHAnsi"/>
                <w:b/>
                <w:sz w:val="16"/>
                <w:szCs w:val="22"/>
              </w:rPr>
              <w:t xml:space="preserve">include a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along with your project status.  The non-technical </w:t>
            </w:r>
            <w:r w:rsidR="004307E6">
              <w:rPr>
                <w:rFonts w:asciiTheme="minorHAnsi" w:hAnsiTheme="minorHAnsi" w:cstheme="minorHAnsi"/>
                <w:b/>
                <w:sz w:val="16"/>
                <w:szCs w:val="22"/>
              </w:rPr>
              <w:t>project</w:t>
            </w:r>
            <w:r w:rsidR="00685ED5">
              <w:rPr>
                <w:rFonts w:asciiTheme="minorHAnsi" w:hAnsiTheme="minorHAnsi" w:cstheme="minorHAnsi"/>
                <w:b/>
                <w:sz w:val="16"/>
                <w:szCs w:val="22"/>
              </w:rPr>
              <w:t xml:space="preserve"> status </w:t>
            </w:r>
            <w:r w:rsidR="00657693" w:rsidRPr="003507CA">
              <w:rPr>
                <w:rFonts w:asciiTheme="minorHAnsi" w:hAnsiTheme="minorHAnsi" w:cstheme="minorHAnsi"/>
                <w:b/>
                <w:sz w:val="16"/>
                <w:szCs w:val="22"/>
              </w:rPr>
              <w:t xml:space="preserve">will be published to the website.  </w:t>
            </w:r>
            <w:r w:rsidR="00657693" w:rsidRPr="003507CA">
              <w:rPr>
                <w:rFonts w:asciiTheme="minorHAnsi" w:hAnsiTheme="minorHAnsi" w:cstheme="minorHAnsi"/>
                <w:b/>
                <w:sz w:val="16"/>
                <w:szCs w:val="22"/>
                <w:u w:val="single"/>
              </w:rPr>
              <w:t xml:space="preserve">If a non-technical </w:t>
            </w:r>
            <w:r w:rsidR="004307E6">
              <w:rPr>
                <w:rFonts w:asciiTheme="minorHAnsi" w:hAnsiTheme="minorHAnsi" w:cstheme="minorHAnsi"/>
                <w:b/>
                <w:sz w:val="16"/>
                <w:szCs w:val="22"/>
                <w:u w:val="single"/>
              </w:rPr>
              <w:t>project</w:t>
            </w:r>
            <w:r w:rsidR="00685ED5">
              <w:rPr>
                <w:rFonts w:asciiTheme="minorHAnsi" w:hAnsiTheme="minorHAnsi" w:cstheme="minorHAnsi"/>
                <w:b/>
                <w:sz w:val="16"/>
                <w:szCs w:val="22"/>
                <w:u w:val="single"/>
              </w:rPr>
              <w:t xml:space="preserve"> status </w:t>
            </w:r>
            <w:r w:rsidR="00657693" w:rsidRPr="003507CA">
              <w:rPr>
                <w:rFonts w:asciiTheme="minorHAnsi" w:hAnsiTheme="minorHAnsi" w:cstheme="minorHAnsi"/>
                <w:b/>
                <w:sz w:val="16"/>
                <w:szCs w:val="22"/>
                <w:u w:val="single"/>
              </w:rPr>
              <w:t>is not provided, the contents of this entire report will be published</w:t>
            </w:r>
            <w:r w:rsidR="00657693" w:rsidRPr="003507CA">
              <w:rPr>
                <w:rFonts w:asciiTheme="minorHAnsi" w:hAnsiTheme="minorHAnsi" w:cstheme="minorHAnsi"/>
                <w:b/>
                <w:sz w:val="16"/>
                <w:szCs w:val="22"/>
              </w:rPr>
              <w:t>.</w:t>
            </w:r>
          </w:p>
        </w:tc>
      </w:tr>
      <w:tr w:rsidR="00957DE7" w:rsidRPr="003507CA" w14:paraId="1805332A" w14:textId="77777777" w:rsidTr="001D1DD2">
        <w:trPr>
          <w:trHeight w:val="307"/>
        </w:trPr>
        <w:tc>
          <w:tcPr>
            <w:tcW w:w="9000" w:type="dxa"/>
            <w:gridSpan w:val="2"/>
            <w:shd w:val="clear" w:color="auto" w:fill="D9D9D9" w:themeFill="background1" w:themeFillShade="D9"/>
            <w:tcMar>
              <w:top w:w="43" w:type="dxa"/>
              <w:left w:w="0" w:type="dxa"/>
              <w:bottom w:w="43" w:type="dxa"/>
              <w:right w:w="0" w:type="dxa"/>
            </w:tcMar>
          </w:tcPr>
          <w:p w14:paraId="567D17C1" w14:textId="77777777" w:rsidR="00957DE7" w:rsidRPr="003507CA" w:rsidRDefault="00957DE7" w:rsidP="003507CA">
            <w:pPr>
              <w:pStyle w:val="Heading2"/>
              <w:numPr>
                <w:ilvl w:val="0"/>
                <w:numId w:val="0"/>
              </w:numPr>
              <w:spacing w:after="0"/>
              <w:outlineLvl w:val="1"/>
              <w:rPr>
                <w:rFonts w:asciiTheme="minorHAnsi" w:hAnsiTheme="minorHAnsi" w:cstheme="minorHAnsi"/>
                <w:b w:val="0"/>
                <w:sz w:val="22"/>
                <w:szCs w:val="22"/>
              </w:rPr>
            </w:pPr>
            <w:r w:rsidRPr="003507CA">
              <w:rPr>
                <w:rFonts w:asciiTheme="minorHAnsi" w:hAnsiTheme="minorHAnsi" w:cstheme="minorHAnsi"/>
                <w:sz w:val="22"/>
                <w:szCs w:val="22"/>
              </w:rPr>
              <w:t>Project Status</w:t>
            </w:r>
            <w:r w:rsidRPr="003507CA">
              <w:rPr>
                <w:rFonts w:asciiTheme="minorHAnsi" w:hAnsiTheme="minorHAnsi" w:cstheme="minorHAnsi"/>
                <w:b w:val="0"/>
                <w:sz w:val="22"/>
                <w:szCs w:val="22"/>
              </w:rPr>
              <w:t>:</w:t>
            </w:r>
          </w:p>
        </w:tc>
      </w:tr>
      <w:tr w:rsidR="00957DE7" w:rsidRPr="003507CA" w14:paraId="021213E3" w14:textId="77777777" w:rsidTr="00C758F8">
        <w:trPr>
          <w:trHeight w:val="4942"/>
        </w:trPr>
        <w:tc>
          <w:tcPr>
            <w:tcW w:w="9000" w:type="dxa"/>
            <w:gridSpan w:val="2"/>
            <w:tcMar>
              <w:top w:w="43" w:type="dxa"/>
              <w:left w:w="0" w:type="dxa"/>
              <w:bottom w:w="43" w:type="dxa"/>
              <w:right w:w="0" w:type="dxa"/>
            </w:tcMar>
          </w:tcPr>
          <w:p w14:paraId="414688AB" w14:textId="77777777" w:rsidR="00761C7A" w:rsidRPr="00C66A8C" w:rsidRDefault="00761C7A" w:rsidP="00761C7A">
            <w:pPr>
              <w:rPr>
                <w:b/>
                <w:bCs w:val="0"/>
                <w:sz w:val="24"/>
                <w:szCs w:val="24"/>
              </w:rPr>
            </w:pPr>
            <w:r>
              <w:rPr>
                <w:b/>
                <w:sz w:val="24"/>
                <w:szCs w:val="24"/>
              </w:rPr>
              <w:t>Ongoing. 1</w:t>
            </w:r>
            <w:r w:rsidRPr="0005624A">
              <w:rPr>
                <w:b/>
                <w:sz w:val="24"/>
                <w:szCs w:val="24"/>
                <w:vertAlign w:val="superscript"/>
              </w:rPr>
              <w:t>st</w:t>
            </w:r>
            <w:r>
              <w:rPr>
                <w:b/>
                <w:sz w:val="24"/>
                <w:szCs w:val="24"/>
              </w:rPr>
              <w:t xml:space="preserve"> quarter report.</w:t>
            </w:r>
            <w:r>
              <w:rPr>
                <w:b/>
                <w:bCs w:val="0"/>
                <w:sz w:val="24"/>
                <w:szCs w:val="24"/>
              </w:rPr>
              <w:t xml:space="preserve">  </w:t>
            </w:r>
          </w:p>
          <w:p w14:paraId="49F5D00D" w14:textId="77777777" w:rsidR="00761C7A" w:rsidRDefault="00761C7A" w:rsidP="00761C7A">
            <w:pPr>
              <w:rPr>
                <w:b/>
                <w:bCs w:val="0"/>
                <w:sz w:val="24"/>
                <w:szCs w:val="24"/>
              </w:rPr>
            </w:pPr>
            <w:r>
              <w:rPr>
                <w:b/>
                <w:sz w:val="24"/>
                <w:szCs w:val="24"/>
              </w:rPr>
              <w:t>Project P</w:t>
            </w:r>
            <w:r>
              <w:rPr>
                <w:b/>
                <w:bCs w:val="0"/>
                <w:sz w:val="24"/>
                <w:szCs w:val="24"/>
              </w:rPr>
              <w:t>e</w:t>
            </w:r>
            <w:r>
              <w:rPr>
                <w:b/>
                <w:sz w:val="24"/>
                <w:szCs w:val="24"/>
              </w:rPr>
              <w:t>riod: April 1, 2022-March 31, 2023.</w:t>
            </w:r>
          </w:p>
          <w:p w14:paraId="763B6AF2" w14:textId="0C36BE3C" w:rsidR="00761C7A" w:rsidRDefault="00761C7A" w:rsidP="00761C7A">
            <w:pPr>
              <w:rPr>
                <w:sz w:val="24"/>
                <w:szCs w:val="24"/>
              </w:rPr>
            </w:pPr>
            <w:r>
              <w:rPr>
                <w:sz w:val="24"/>
                <w:szCs w:val="24"/>
              </w:rPr>
              <w:t xml:space="preserve">This project will produce a feasibility study for the potential development of a collaborative, whole, vegetable soy food system. </w:t>
            </w:r>
          </w:p>
          <w:p w14:paraId="6E9B29C3" w14:textId="77777777" w:rsidR="00761C7A" w:rsidRDefault="00761C7A" w:rsidP="00761C7A">
            <w:pPr>
              <w:rPr>
                <w:b/>
                <w:bCs w:val="0"/>
                <w:sz w:val="24"/>
                <w:szCs w:val="24"/>
              </w:rPr>
            </w:pPr>
          </w:p>
          <w:p w14:paraId="6082B927" w14:textId="415B821B" w:rsidR="00761C7A" w:rsidRPr="0064129B" w:rsidRDefault="00761C7A" w:rsidP="00761C7A">
            <w:pPr>
              <w:rPr>
                <w:b/>
                <w:bCs w:val="0"/>
                <w:sz w:val="24"/>
                <w:szCs w:val="24"/>
              </w:rPr>
            </w:pPr>
            <w:r w:rsidRPr="0064129B">
              <w:rPr>
                <w:b/>
                <w:bCs w:val="0"/>
                <w:sz w:val="24"/>
                <w:szCs w:val="24"/>
              </w:rPr>
              <w:t>Objectives of the project include:</w:t>
            </w:r>
          </w:p>
          <w:p w14:paraId="1205F519" w14:textId="77777777" w:rsidR="00761C7A" w:rsidRDefault="00761C7A" w:rsidP="00761C7A">
            <w:pPr>
              <w:pStyle w:val="ListParagraph"/>
              <w:numPr>
                <w:ilvl w:val="0"/>
                <w:numId w:val="45"/>
              </w:numPr>
              <w:spacing w:after="160" w:line="259" w:lineRule="auto"/>
              <w:rPr>
                <w:sz w:val="24"/>
                <w:szCs w:val="24"/>
              </w:rPr>
            </w:pPr>
            <w:r>
              <w:rPr>
                <w:sz w:val="24"/>
                <w:szCs w:val="24"/>
              </w:rPr>
              <w:t>Evaluation of the agronomic viability and profitability of food-grade soy cultivars that can be conventionally harvested through a meta-analysis of data from Arkansas, Mississippi, Louisiana, Missouri, and Texas.</w:t>
            </w:r>
          </w:p>
          <w:p w14:paraId="09987117" w14:textId="77777777" w:rsidR="00761C7A" w:rsidRDefault="00761C7A" w:rsidP="00761C7A">
            <w:pPr>
              <w:pStyle w:val="ListParagraph"/>
              <w:numPr>
                <w:ilvl w:val="0"/>
                <w:numId w:val="45"/>
              </w:numPr>
              <w:spacing w:after="160" w:line="259" w:lineRule="auto"/>
              <w:rPr>
                <w:sz w:val="24"/>
                <w:szCs w:val="24"/>
              </w:rPr>
            </w:pPr>
            <w:r>
              <w:rPr>
                <w:sz w:val="24"/>
                <w:szCs w:val="24"/>
              </w:rPr>
              <w:t xml:space="preserve">Evaluation of direct product acceptability of whole soy products through key informant interviews, surveys, and focus groups. </w:t>
            </w:r>
          </w:p>
          <w:p w14:paraId="38372AE4" w14:textId="77777777" w:rsidR="00761C7A" w:rsidRDefault="00761C7A" w:rsidP="00761C7A">
            <w:pPr>
              <w:pStyle w:val="ListParagraph"/>
              <w:numPr>
                <w:ilvl w:val="0"/>
                <w:numId w:val="45"/>
              </w:numPr>
              <w:spacing w:after="160" w:line="259" w:lineRule="auto"/>
              <w:rPr>
                <w:sz w:val="24"/>
                <w:szCs w:val="24"/>
              </w:rPr>
            </w:pPr>
            <w:r>
              <w:rPr>
                <w:sz w:val="24"/>
                <w:szCs w:val="24"/>
              </w:rPr>
              <w:t xml:space="preserve">Evaluation of regional market opportunities through key informant interviews with school nutrition program directors and USDA food and nutrition officials. </w:t>
            </w:r>
          </w:p>
          <w:p w14:paraId="377534C3" w14:textId="77777777" w:rsidR="00761C7A" w:rsidRDefault="00761C7A" w:rsidP="00761C7A">
            <w:pPr>
              <w:pStyle w:val="ListParagraph"/>
              <w:numPr>
                <w:ilvl w:val="0"/>
                <w:numId w:val="45"/>
              </w:numPr>
              <w:spacing w:after="160" w:line="259" w:lineRule="auto"/>
              <w:rPr>
                <w:sz w:val="24"/>
                <w:szCs w:val="24"/>
              </w:rPr>
            </w:pPr>
            <w:r>
              <w:rPr>
                <w:sz w:val="24"/>
                <w:szCs w:val="24"/>
              </w:rPr>
              <w:t xml:space="preserve">Dissemination of study results to increase knowledge of producers and consumers regarding the value and sustainability benefits of regional soy food production and consumption. </w:t>
            </w:r>
          </w:p>
          <w:p w14:paraId="1A8882E4" w14:textId="77777777" w:rsidR="00957DE7" w:rsidRPr="003507CA" w:rsidRDefault="00957DE7" w:rsidP="003507CA">
            <w:pPr>
              <w:spacing w:line="240" w:lineRule="auto"/>
              <w:rPr>
                <w:rFonts w:asciiTheme="minorHAnsi" w:hAnsiTheme="minorHAnsi" w:cstheme="minorHAnsi"/>
                <w:sz w:val="22"/>
                <w:szCs w:val="22"/>
              </w:rPr>
            </w:pPr>
          </w:p>
        </w:tc>
      </w:tr>
      <w:tr w:rsidR="00AC69AD" w:rsidRPr="003507CA" w14:paraId="0FF2D093" w14:textId="77777777" w:rsidTr="001D1DD2">
        <w:trPr>
          <w:trHeight w:val="217"/>
        </w:trPr>
        <w:tc>
          <w:tcPr>
            <w:tcW w:w="9000" w:type="dxa"/>
            <w:gridSpan w:val="2"/>
            <w:shd w:val="clear" w:color="auto" w:fill="FFFF99"/>
            <w:tcMar>
              <w:top w:w="43" w:type="dxa"/>
              <w:left w:w="0" w:type="dxa"/>
              <w:bottom w:w="43" w:type="dxa"/>
              <w:right w:w="0" w:type="dxa"/>
            </w:tcMar>
          </w:tcPr>
          <w:p w14:paraId="0A91A1A4" w14:textId="77777777" w:rsidR="00AC69AD" w:rsidRPr="003507CA" w:rsidRDefault="00AC69AD" w:rsidP="004307E6">
            <w:pPr>
              <w:spacing w:line="240" w:lineRule="auto"/>
              <w:rPr>
                <w:rFonts w:asciiTheme="minorHAnsi" w:hAnsiTheme="minorHAnsi" w:cstheme="minorHAnsi"/>
                <w:b/>
                <w:sz w:val="22"/>
                <w:szCs w:val="22"/>
              </w:rPr>
            </w:pPr>
            <w:r w:rsidRPr="003507CA">
              <w:rPr>
                <w:rFonts w:asciiTheme="minorHAnsi" w:hAnsiTheme="minorHAnsi" w:cstheme="minorHAnsi"/>
                <w:b/>
                <w:sz w:val="22"/>
                <w:szCs w:val="22"/>
              </w:rPr>
              <w:t xml:space="preserve">Non-technical </w:t>
            </w:r>
            <w:r w:rsidR="004307E6">
              <w:rPr>
                <w:rFonts w:asciiTheme="minorHAnsi" w:hAnsiTheme="minorHAnsi" w:cstheme="minorHAnsi"/>
                <w:b/>
                <w:sz w:val="22"/>
                <w:szCs w:val="22"/>
              </w:rPr>
              <w:t>project</w:t>
            </w:r>
            <w:r w:rsidR="00685ED5">
              <w:rPr>
                <w:rFonts w:asciiTheme="minorHAnsi" w:hAnsiTheme="minorHAnsi" w:cstheme="minorHAnsi"/>
                <w:b/>
                <w:sz w:val="22"/>
                <w:szCs w:val="22"/>
              </w:rPr>
              <w:t xml:space="preserve"> status</w:t>
            </w:r>
            <w:r w:rsidRPr="003507CA">
              <w:rPr>
                <w:rFonts w:asciiTheme="minorHAnsi" w:hAnsiTheme="minorHAnsi" w:cstheme="minorHAnsi"/>
                <w:b/>
                <w:sz w:val="22"/>
                <w:szCs w:val="22"/>
              </w:rPr>
              <w:t>:</w:t>
            </w:r>
          </w:p>
        </w:tc>
      </w:tr>
      <w:tr w:rsidR="00957DE7" w:rsidRPr="003507CA" w14:paraId="160201EF" w14:textId="77777777" w:rsidTr="00C758F8">
        <w:trPr>
          <w:trHeight w:val="2242"/>
        </w:trPr>
        <w:tc>
          <w:tcPr>
            <w:tcW w:w="9000" w:type="dxa"/>
            <w:gridSpan w:val="2"/>
            <w:tcMar>
              <w:top w:w="43" w:type="dxa"/>
              <w:left w:w="0" w:type="dxa"/>
              <w:bottom w:w="43" w:type="dxa"/>
              <w:right w:w="0" w:type="dxa"/>
            </w:tcMar>
          </w:tcPr>
          <w:p w14:paraId="552310AD" w14:textId="4B01B516" w:rsidR="00761C7A" w:rsidRPr="00A70781" w:rsidRDefault="00761C7A" w:rsidP="00761C7A">
            <w:pPr>
              <w:rPr>
                <w:b/>
                <w:bCs w:val="0"/>
                <w:sz w:val="24"/>
                <w:szCs w:val="24"/>
              </w:rPr>
            </w:pPr>
            <w:r w:rsidRPr="00A70781">
              <w:rPr>
                <w:b/>
                <w:sz w:val="24"/>
                <w:szCs w:val="24"/>
              </w:rPr>
              <w:t>Key performance results during th</w:t>
            </w:r>
            <w:r>
              <w:rPr>
                <w:b/>
                <w:sz w:val="24"/>
                <w:szCs w:val="24"/>
              </w:rPr>
              <w:t>e</w:t>
            </w:r>
            <w:r w:rsidRPr="00A70781">
              <w:rPr>
                <w:b/>
                <w:sz w:val="24"/>
                <w:szCs w:val="24"/>
              </w:rPr>
              <w:t xml:space="preserve"> first quarter include:</w:t>
            </w:r>
          </w:p>
          <w:p w14:paraId="3D439BB5" w14:textId="69861DAE" w:rsidR="00761C7A" w:rsidRPr="00FA6A19" w:rsidRDefault="00761C7A" w:rsidP="00761C7A">
            <w:pPr>
              <w:pStyle w:val="ListParagraph"/>
              <w:numPr>
                <w:ilvl w:val="0"/>
                <w:numId w:val="46"/>
              </w:numPr>
              <w:spacing w:after="160" w:line="259" w:lineRule="auto"/>
              <w:rPr>
                <w:sz w:val="24"/>
                <w:szCs w:val="24"/>
              </w:rPr>
            </w:pPr>
            <w:r w:rsidRPr="00FA6A19">
              <w:rPr>
                <w:sz w:val="24"/>
                <w:szCs w:val="24"/>
              </w:rPr>
              <w:t xml:space="preserve">Project operations planning, including </w:t>
            </w:r>
            <w:r>
              <w:rPr>
                <w:sz w:val="24"/>
                <w:szCs w:val="24"/>
              </w:rPr>
              <w:t xml:space="preserve">identification and contacts with key collaborators, development of instruments and site-specific study protocols, and </w:t>
            </w:r>
            <w:r w:rsidRPr="00FA6A19">
              <w:rPr>
                <w:sz w:val="24"/>
                <w:szCs w:val="24"/>
              </w:rPr>
              <w:t xml:space="preserve">sourcing non-perishable supplies </w:t>
            </w:r>
            <w:r>
              <w:rPr>
                <w:sz w:val="24"/>
                <w:szCs w:val="24"/>
              </w:rPr>
              <w:t xml:space="preserve">and services </w:t>
            </w:r>
            <w:r w:rsidRPr="00FA6A19">
              <w:rPr>
                <w:sz w:val="24"/>
                <w:szCs w:val="24"/>
              </w:rPr>
              <w:t xml:space="preserve">for </w:t>
            </w:r>
            <w:r>
              <w:rPr>
                <w:sz w:val="24"/>
                <w:szCs w:val="24"/>
              </w:rPr>
              <w:t xml:space="preserve">product development and </w:t>
            </w:r>
            <w:r w:rsidRPr="00FA6A19">
              <w:rPr>
                <w:sz w:val="24"/>
                <w:szCs w:val="24"/>
              </w:rPr>
              <w:t xml:space="preserve">sensory testing. </w:t>
            </w:r>
          </w:p>
          <w:p w14:paraId="65B946F1" w14:textId="77777777" w:rsidR="00761C7A" w:rsidRDefault="00761C7A" w:rsidP="00761C7A">
            <w:pPr>
              <w:pStyle w:val="ListParagraph"/>
              <w:numPr>
                <w:ilvl w:val="0"/>
                <w:numId w:val="46"/>
              </w:numPr>
              <w:spacing w:after="160" w:line="259" w:lineRule="auto"/>
              <w:rPr>
                <w:sz w:val="24"/>
                <w:szCs w:val="24"/>
              </w:rPr>
            </w:pPr>
            <w:r w:rsidRPr="00FA6A19">
              <w:rPr>
                <w:sz w:val="24"/>
                <w:szCs w:val="24"/>
              </w:rPr>
              <w:t xml:space="preserve">Consultation and Zoom meetings conducted with multi-state Extension soybean, nutrition and evaluation specialists to initiate collaborative, multi-state planning. </w:t>
            </w:r>
          </w:p>
          <w:p w14:paraId="0FE383BD" w14:textId="77777777" w:rsidR="00761C7A" w:rsidRDefault="00761C7A" w:rsidP="00761C7A">
            <w:pPr>
              <w:pStyle w:val="ListParagraph"/>
              <w:numPr>
                <w:ilvl w:val="0"/>
                <w:numId w:val="46"/>
              </w:numPr>
              <w:spacing w:after="160" w:line="259" w:lineRule="auto"/>
              <w:rPr>
                <w:sz w:val="24"/>
                <w:szCs w:val="24"/>
              </w:rPr>
            </w:pPr>
            <w:r>
              <w:rPr>
                <w:sz w:val="24"/>
                <w:szCs w:val="24"/>
              </w:rPr>
              <w:t xml:space="preserve">Development of study database. </w:t>
            </w:r>
          </w:p>
          <w:p w14:paraId="2F63A10F" w14:textId="77777777" w:rsidR="00761C7A" w:rsidRDefault="00761C7A" w:rsidP="00761C7A">
            <w:pPr>
              <w:rPr>
                <w:b/>
                <w:bCs w:val="0"/>
                <w:sz w:val="24"/>
                <w:szCs w:val="24"/>
              </w:rPr>
            </w:pPr>
          </w:p>
          <w:p w14:paraId="2641AAA0" w14:textId="1FB64AE3" w:rsidR="00761C7A" w:rsidRDefault="00761C7A" w:rsidP="00761C7A">
            <w:pPr>
              <w:rPr>
                <w:b/>
                <w:bCs w:val="0"/>
                <w:sz w:val="24"/>
                <w:szCs w:val="24"/>
              </w:rPr>
            </w:pPr>
            <w:r w:rsidRPr="0064129B">
              <w:rPr>
                <w:b/>
                <w:bCs w:val="0"/>
                <w:sz w:val="24"/>
                <w:szCs w:val="24"/>
              </w:rPr>
              <w:t>Key Metrics:</w:t>
            </w:r>
          </w:p>
          <w:p w14:paraId="403B821C" w14:textId="77777777" w:rsidR="00761C7A" w:rsidRPr="00934E5F" w:rsidRDefault="00761C7A" w:rsidP="00761C7A">
            <w:pPr>
              <w:rPr>
                <w:sz w:val="24"/>
                <w:szCs w:val="24"/>
                <w:u w:val="single"/>
              </w:rPr>
            </w:pPr>
            <w:r w:rsidRPr="00934E5F">
              <w:rPr>
                <w:sz w:val="24"/>
                <w:szCs w:val="24"/>
                <w:u w:val="single"/>
              </w:rPr>
              <w:t>USDA child nutrition program market analysis</w:t>
            </w:r>
          </w:p>
          <w:p w14:paraId="45FB38AC" w14:textId="77777777" w:rsidR="00761C7A" w:rsidRDefault="00761C7A" w:rsidP="00761C7A">
            <w:pPr>
              <w:pStyle w:val="ListParagraph"/>
              <w:numPr>
                <w:ilvl w:val="0"/>
                <w:numId w:val="46"/>
              </w:numPr>
              <w:spacing w:after="160" w:line="259" w:lineRule="auto"/>
              <w:rPr>
                <w:sz w:val="24"/>
                <w:szCs w:val="24"/>
              </w:rPr>
            </w:pPr>
            <w:r w:rsidRPr="00FA6A19">
              <w:rPr>
                <w:sz w:val="24"/>
                <w:szCs w:val="24"/>
              </w:rPr>
              <w:t xml:space="preserve">Consultation and face-to-face planning meetings conducted </w:t>
            </w:r>
            <w:r>
              <w:rPr>
                <w:sz w:val="24"/>
                <w:szCs w:val="24"/>
              </w:rPr>
              <w:t xml:space="preserve">this quarter </w:t>
            </w:r>
            <w:r w:rsidRPr="00FA6A19">
              <w:rPr>
                <w:sz w:val="24"/>
                <w:szCs w:val="24"/>
              </w:rPr>
              <w:t xml:space="preserve">with school nutrition directors in Arkansas to develop a prototype for fall student/teacher sensory testing of whole vegetable soybean food products. </w:t>
            </w:r>
          </w:p>
          <w:p w14:paraId="51BA09C8" w14:textId="77777777" w:rsidR="00761C7A" w:rsidRPr="00934E5F" w:rsidRDefault="00761C7A" w:rsidP="00761C7A">
            <w:pPr>
              <w:rPr>
                <w:sz w:val="24"/>
                <w:szCs w:val="24"/>
                <w:u w:val="single"/>
              </w:rPr>
            </w:pPr>
            <w:r w:rsidRPr="00934E5F">
              <w:rPr>
                <w:sz w:val="24"/>
                <w:szCs w:val="24"/>
                <w:u w:val="single"/>
              </w:rPr>
              <w:t>Consumer acceptability testing</w:t>
            </w:r>
          </w:p>
          <w:p w14:paraId="69161BB0" w14:textId="77777777" w:rsidR="00761C7A" w:rsidRPr="00FA6A19" w:rsidRDefault="00761C7A" w:rsidP="00761C7A">
            <w:pPr>
              <w:pStyle w:val="ListParagraph"/>
              <w:numPr>
                <w:ilvl w:val="0"/>
                <w:numId w:val="46"/>
              </w:numPr>
              <w:spacing w:after="160" w:line="259" w:lineRule="auto"/>
              <w:rPr>
                <w:sz w:val="24"/>
                <w:szCs w:val="24"/>
              </w:rPr>
            </w:pPr>
            <w:r w:rsidRPr="00FA6A19">
              <w:rPr>
                <w:sz w:val="24"/>
                <w:szCs w:val="24"/>
              </w:rPr>
              <w:t>Development of survey instruments, including semi-structured key informant interview questions and focus group protocols.</w:t>
            </w:r>
          </w:p>
          <w:p w14:paraId="10312D92" w14:textId="77777777" w:rsidR="00761C7A" w:rsidRPr="00FA6A19" w:rsidRDefault="00761C7A" w:rsidP="00761C7A">
            <w:pPr>
              <w:pStyle w:val="ListParagraph"/>
              <w:numPr>
                <w:ilvl w:val="0"/>
                <w:numId w:val="46"/>
              </w:numPr>
              <w:spacing w:after="160" w:line="259" w:lineRule="auto"/>
              <w:rPr>
                <w:sz w:val="24"/>
                <w:szCs w:val="24"/>
              </w:rPr>
            </w:pPr>
            <w:r w:rsidRPr="00FA6A19">
              <w:rPr>
                <w:sz w:val="24"/>
                <w:szCs w:val="24"/>
              </w:rPr>
              <w:t xml:space="preserve">Development and production of project communications and educational outreach materials regarding the value and benefits of whole vegetable soy foods. </w:t>
            </w:r>
          </w:p>
          <w:p w14:paraId="49ADEC77" w14:textId="77777777" w:rsidR="00761C7A" w:rsidRPr="00FA6A19" w:rsidRDefault="00761C7A" w:rsidP="00761C7A">
            <w:pPr>
              <w:pStyle w:val="ListParagraph"/>
              <w:numPr>
                <w:ilvl w:val="0"/>
                <w:numId w:val="46"/>
              </w:numPr>
              <w:spacing w:after="160" w:line="259" w:lineRule="auto"/>
              <w:rPr>
                <w:sz w:val="24"/>
                <w:szCs w:val="24"/>
              </w:rPr>
            </w:pPr>
            <w:r>
              <w:rPr>
                <w:sz w:val="24"/>
                <w:szCs w:val="24"/>
              </w:rPr>
              <w:t>Face-to-Face c</w:t>
            </w:r>
            <w:r w:rsidRPr="00FA6A19">
              <w:rPr>
                <w:sz w:val="24"/>
                <w:szCs w:val="24"/>
              </w:rPr>
              <w:t>onsumer reaction tasting for whole vegetable soybean product</w:t>
            </w:r>
            <w:r>
              <w:rPr>
                <w:sz w:val="24"/>
                <w:szCs w:val="24"/>
              </w:rPr>
              <w:t xml:space="preserve"> formulations</w:t>
            </w:r>
            <w:r w:rsidRPr="00FA6A19">
              <w:rPr>
                <w:sz w:val="24"/>
                <w:szCs w:val="24"/>
              </w:rPr>
              <w:t xml:space="preserve"> to be used in sensory study in fall 2022. </w:t>
            </w:r>
          </w:p>
          <w:p w14:paraId="30557470" w14:textId="77777777" w:rsidR="00761C7A" w:rsidRDefault="00761C7A" w:rsidP="00761C7A">
            <w:pPr>
              <w:rPr>
                <w:sz w:val="24"/>
                <w:szCs w:val="24"/>
                <w:u w:val="single"/>
              </w:rPr>
            </w:pPr>
            <w:r w:rsidRPr="00934E5F">
              <w:rPr>
                <w:sz w:val="24"/>
                <w:szCs w:val="24"/>
                <w:u w:val="single"/>
              </w:rPr>
              <w:t>Producer market opportunities report</w:t>
            </w:r>
          </w:p>
          <w:p w14:paraId="5960B30B" w14:textId="77777777" w:rsidR="00761C7A" w:rsidRDefault="00761C7A" w:rsidP="00761C7A">
            <w:pPr>
              <w:pStyle w:val="ListParagraph"/>
              <w:numPr>
                <w:ilvl w:val="0"/>
                <w:numId w:val="46"/>
              </w:numPr>
              <w:spacing w:after="160" w:line="259" w:lineRule="auto"/>
              <w:rPr>
                <w:sz w:val="24"/>
                <w:szCs w:val="24"/>
              </w:rPr>
            </w:pPr>
            <w:r>
              <w:rPr>
                <w:sz w:val="24"/>
                <w:szCs w:val="24"/>
              </w:rPr>
              <w:t>Literature r</w:t>
            </w:r>
            <w:r w:rsidRPr="00FA6A19">
              <w:rPr>
                <w:sz w:val="24"/>
                <w:szCs w:val="24"/>
              </w:rPr>
              <w:t xml:space="preserve">eview of current market research to inform educational </w:t>
            </w:r>
            <w:r>
              <w:rPr>
                <w:sz w:val="24"/>
                <w:szCs w:val="24"/>
              </w:rPr>
              <w:t xml:space="preserve">outreach </w:t>
            </w:r>
            <w:r w:rsidRPr="00FA6A19">
              <w:rPr>
                <w:sz w:val="24"/>
                <w:szCs w:val="24"/>
              </w:rPr>
              <w:t xml:space="preserve">material development. </w:t>
            </w:r>
          </w:p>
          <w:p w14:paraId="6DC19C56" w14:textId="281A032E" w:rsidR="00761C7A" w:rsidRDefault="00761C7A" w:rsidP="00761C7A">
            <w:pPr>
              <w:pStyle w:val="ListParagraph"/>
              <w:numPr>
                <w:ilvl w:val="0"/>
                <w:numId w:val="46"/>
              </w:numPr>
              <w:spacing w:after="160" w:line="259" w:lineRule="auto"/>
              <w:rPr>
                <w:sz w:val="24"/>
                <w:szCs w:val="24"/>
              </w:rPr>
            </w:pPr>
            <w:r>
              <w:rPr>
                <w:sz w:val="24"/>
                <w:szCs w:val="24"/>
              </w:rPr>
              <w:t>Market research sources reviewed this quarter included Mintel, the Good Food Institute, the Soy Nutrition Institute Global, and the Hartman Group</w:t>
            </w:r>
            <w:r w:rsidR="009145F9">
              <w:rPr>
                <w:sz w:val="24"/>
                <w:szCs w:val="24"/>
              </w:rPr>
              <w:t xml:space="preserve"> (among others)</w:t>
            </w:r>
            <w:r>
              <w:rPr>
                <w:sz w:val="24"/>
                <w:szCs w:val="24"/>
              </w:rPr>
              <w:t xml:space="preserve">.  Market size, drivers, segmentation and market forecasts were compiled to inform the market opportunities report for this study.  </w:t>
            </w:r>
          </w:p>
          <w:p w14:paraId="37978C4C" w14:textId="77777777" w:rsidR="00761C7A" w:rsidRPr="00880811" w:rsidRDefault="00761C7A" w:rsidP="00761C7A">
            <w:pPr>
              <w:rPr>
                <w:b/>
                <w:bCs w:val="0"/>
                <w:sz w:val="24"/>
                <w:szCs w:val="24"/>
              </w:rPr>
            </w:pPr>
            <w:r w:rsidRPr="00880811">
              <w:rPr>
                <w:b/>
                <w:bCs w:val="0"/>
                <w:sz w:val="24"/>
                <w:szCs w:val="24"/>
              </w:rPr>
              <w:t xml:space="preserve">Market Forecast: </w:t>
            </w:r>
            <w:r>
              <w:rPr>
                <w:b/>
                <w:bCs w:val="0"/>
                <w:sz w:val="24"/>
                <w:szCs w:val="24"/>
              </w:rPr>
              <w:t>1</w:t>
            </w:r>
            <w:r w:rsidRPr="00574B3C">
              <w:rPr>
                <w:b/>
                <w:bCs w:val="0"/>
                <w:sz w:val="24"/>
                <w:szCs w:val="24"/>
                <w:vertAlign w:val="superscript"/>
              </w:rPr>
              <w:t>st</w:t>
            </w:r>
            <w:r>
              <w:rPr>
                <w:b/>
                <w:bCs w:val="0"/>
                <w:sz w:val="24"/>
                <w:szCs w:val="24"/>
              </w:rPr>
              <w:t xml:space="preserve"> Quarter </w:t>
            </w:r>
            <w:r w:rsidRPr="00880811">
              <w:rPr>
                <w:b/>
                <w:bCs w:val="0"/>
                <w:sz w:val="24"/>
                <w:szCs w:val="24"/>
              </w:rPr>
              <w:t>Update</w:t>
            </w:r>
          </w:p>
          <w:p w14:paraId="4BEE1F98" w14:textId="48EF6464" w:rsidR="00761C7A" w:rsidRDefault="00761C7A" w:rsidP="00761C7A">
            <w:pPr>
              <w:rPr>
                <w:sz w:val="24"/>
                <w:szCs w:val="24"/>
              </w:rPr>
            </w:pPr>
            <w:r>
              <w:rPr>
                <w:sz w:val="24"/>
                <w:szCs w:val="24"/>
              </w:rPr>
              <w:t xml:space="preserve">Mintel’s </w:t>
            </w:r>
            <w:r w:rsidRPr="00044797">
              <w:rPr>
                <w:i/>
                <w:iCs/>
                <w:sz w:val="24"/>
                <w:szCs w:val="24"/>
              </w:rPr>
              <w:t>2021 Global Food and Drink Trends</w:t>
            </w:r>
            <w:r>
              <w:rPr>
                <w:sz w:val="24"/>
                <w:szCs w:val="24"/>
              </w:rPr>
              <w:t xml:space="preserve"> and the </w:t>
            </w:r>
            <w:r w:rsidRPr="00044797">
              <w:rPr>
                <w:i/>
                <w:iCs/>
                <w:sz w:val="24"/>
                <w:szCs w:val="24"/>
              </w:rPr>
              <w:t>2022 Global Consumer Trends</w:t>
            </w:r>
            <w:r>
              <w:rPr>
                <w:sz w:val="24"/>
                <w:szCs w:val="24"/>
              </w:rPr>
              <w:t xml:space="preserve"> market reports provide key insights into the continued increase in the plant-based food market. </w:t>
            </w:r>
          </w:p>
          <w:p w14:paraId="1810183E" w14:textId="77777777" w:rsidR="00761C7A" w:rsidRDefault="00761C7A" w:rsidP="00761C7A">
            <w:pPr>
              <w:rPr>
                <w:sz w:val="24"/>
                <w:szCs w:val="24"/>
              </w:rPr>
            </w:pPr>
          </w:p>
          <w:p w14:paraId="093ED7D9" w14:textId="02EEA3D7" w:rsidR="00761C7A" w:rsidRDefault="00761C7A" w:rsidP="00761C7A">
            <w:pPr>
              <w:rPr>
                <w:sz w:val="24"/>
                <w:szCs w:val="24"/>
              </w:rPr>
            </w:pPr>
            <w:r>
              <w:rPr>
                <w:sz w:val="24"/>
                <w:szCs w:val="24"/>
              </w:rPr>
              <w:t xml:space="preserve">Mintel forecasts that wellbeing (seeking physical and mental wellness) is one of the seven core drivers of future consumer behavior. With an ongoing world-wide health crisis, consumers want to gain control over their health. </w:t>
            </w:r>
          </w:p>
          <w:p w14:paraId="683DB6F4" w14:textId="77777777" w:rsidR="00761C7A" w:rsidRDefault="00761C7A" w:rsidP="00761C7A">
            <w:pPr>
              <w:rPr>
                <w:sz w:val="24"/>
                <w:szCs w:val="24"/>
              </w:rPr>
            </w:pPr>
          </w:p>
          <w:p w14:paraId="4AEB5A33" w14:textId="3C7ED1A7" w:rsidR="00761C7A" w:rsidRPr="000374ED" w:rsidRDefault="00761C7A" w:rsidP="00761C7A">
            <w:pPr>
              <w:rPr>
                <w:i/>
                <w:iCs/>
                <w:sz w:val="24"/>
                <w:szCs w:val="24"/>
              </w:rPr>
            </w:pPr>
            <w:r>
              <w:rPr>
                <w:sz w:val="24"/>
                <w:szCs w:val="24"/>
              </w:rPr>
              <w:t xml:space="preserve">Mintel reports that in food and drink, </w:t>
            </w:r>
            <w:r w:rsidRPr="000374ED">
              <w:rPr>
                <w:i/>
                <w:iCs/>
                <w:sz w:val="24"/>
                <w:szCs w:val="24"/>
              </w:rPr>
              <w:t xml:space="preserve">“consumer expectations have grown beyond stories and detailed claims; in 2022, consumers will want to see trustworthiness and measurable progress on health, environmental and ethical commitments. Consumers’ needs for protection will increase the demand for products that help both short- and long- term health goals.” </w:t>
            </w:r>
          </w:p>
          <w:p w14:paraId="044760DC" w14:textId="77777777" w:rsidR="00761C7A" w:rsidRDefault="00761C7A" w:rsidP="00761C7A">
            <w:pPr>
              <w:rPr>
                <w:sz w:val="24"/>
                <w:szCs w:val="24"/>
              </w:rPr>
            </w:pPr>
          </w:p>
          <w:p w14:paraId="41F04379" w14:textId="0BEAE671" w:rsidR="00761C7A" w:rsidRPr="000374ED" w:rsidRDefault="00761C7A" w:rsidP="00761C7A">
            <w:pPr>
              <w:rPr>
                <w:i/>
                <w:iCs/>
                <w:sz w:val="24"/>
                <w:szCs w:val="24"/>
              </w:rPr>
            </w:pPr>
            <w:r w:rsidRPr="000374ED">
              <w:rPr>
                <w:sz w:val="24"/>
                <w:szCs w:val="24"/>
              </w:rPr>
              <w:t>The Good Food Institute report</w:t>
            </w:r>
            <w:r w:rsidR="009145F9">
              <w:rPr>
                <w:sz w:val="24"/>
                <w:szCs w:val="24"/>
              </w:rPr>
              <w:t>ed</w:t>
            </w:r>
            <w:r w:rsidRPr="000374ED">
              <w:rPr>
                <w:sz w:val="24"/>
                <w:szCs w:val="24"/>
              </w:rPr>
              <w:t xml:space="preserve"> that “</w:t>
            </w:r>
            <w:r w:rsidRPr="000374ED">
              <w:rPr>
                <w:i/>
                <w:iCs/>
                <w:sz w:val="24"/>
                <w:szCs w:val="24"/>
              </w:rPr>
              <w:t>actual</w:t>
            </w:r>
            <w:r>
              <w:rPr>
                <w:i/>
                <w:iCs/>
                <w:sz w:val="24"/>
                <w:szCs w:val="24"/>
              </w:rPr>
              <w:t xml:space="preserve"> 2021</w:t>
            </w:r>
            <w:r w:rsidRPr="000374ED">
              <w:rPr>
                <w:i/>
                <w:iCs/>
                <w:sz w:val="24"/>
                <w:szCs w:val="24"/>
              </w:rPr>
              <w:t xml:space="preserve"> U.S. plant-based food retail sales grew 6% to hit $7.4B – outpacing total retail food sales despite supply chain interruptions and the pandemic creating volatility in the food industry.”</w:t>
            </w:r>
          </w:p>
          <w:p w14:paraId="395956D8" w14:textId="77777777" w:rsidR="00761C7A" w:rsidRPr="00FA6A19" w:rsidRDefault="00761C7A" w:rsidP="00761C7A">
            <w:pPr>
              <w:pStyle w:val="ListParagraph"/>
              <w:rPr>
                <w:sz w:val="24"/>
                <w:szCs w:val="24"/>
              </w:rPr>
            </w:pPr>
          </w:p>
          <w:p w14:paraId="336566CC" w14:textId="77777777" w:rsidR="00761C7A" w:rsidRDefault="00761C7A" w:rsidP="009145F9">
            <w:pPr>
              <w:jc w:val="center"/>
              <w:rPr>
                <w:sz w:val="24"/>
                <w:szCs w:val="24"/>
                <w:u w:val="single"/>
              </w:rPr>
            </w:pPr>
            <w:r w:rsidRPr="008D6EEF">
              <w:rPr>
                <w:noProof/>
                <w:sz w:val="24"/>
                <w:szCs w:val="24"/>
              </w:rPr>
              <w:drawing>
                <wp:inline distT="0" distB="0" distL="0" distR="0" wp14:anchorId="061F65FE" wp14:editId="7D986FCD">
                  <wp:extent cx="4766310" cy="2332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42391"/>
                          <a:stretch/>
                        </pic:blipFill>
                        <pic:spPr bwMode="auto">
                          <a:xfrm>
                            <a:off x="0" y="0"/>
                            <a:ext cx="4793738" cy="2345510"/>
                          </a:xfrm>
                          <a:prstGeom prst="rect">
                            <a:avLst/>
                          </a:prstGeom>
                          <a:ln>
                            <a:noFill/>
                          </a:ln>
                          <a:extLst>
                            <a:ext uri="{53640926-AAD7-44D8-BBD7-CCE9431645EC}">
                              <a14:shadowObscured xmlns:a14="http://schemas.microsoft.com/office/drawing/2010/main"/>
                            </a:ext>
                          </a:extLst>
                        </pic:spPr>
                      </pic:pic>
                    </a:graphicData>
                  </a:graphic>
                </wp:inline>
              </w:drawing>
            </w:r>
          </w:p>
          <w:p w14:paraId="0F9FA3B6" w14:textId="77777777" w:rsidR="00761C7A" w:rsidRDefault="00761C7A" w:rsidP="00761C7A">
            <w:pPr>
              <w:rPr>
                <w:sz w:val="24"/>
                <w:szCs w:val="24"/>
              </w:rPr>
            </w:pPr>
          </w:p>
          <w:p w14:paraId="54258124" w14:textId="7A584891" w:rsidR="00761C7A" w:rsidRPr="00574B3C" w:rsidRDefault="00761C7A" w:rsidP="00761C7A">
            <w:pPr>
              <w:rPr>
                <w:i/>
                <w:iCs/>
                <w:sz w:val="24"/>
                <w:szCs w:val="24"/>
              </w:rPr>
            </w:pPr>
            <w:r>
              <w:rPr>
                <w:sz w:val="24"/>
                <w:szCs w:val="24"/>
              </w:rPr>
              <w:t xml:space="preserve">The </w:t>
            </w:r>
            <w:r w:rsidRPr="002A3129">
              <w:rPr>
                <w:i/>
                <w:iCs/>
                <w:sz w:val="24"/>
                <w:szCs w:val="24"/>
              </w:rPr>
              <w:t>Health and Wellness: Reimagining Well-Being Amid COVID-19</w:t>
            </w:r>
            <w:r>
              <w:rPr>
                <w:sz w:val="24"/>
                <w:szCs w:val="24"/>
              </w:rPr>
              <w:t xml:space="preserve"> research report on the American landscape, produced by the Hartman Group, identified plant-based eating as one of four consumer priorities in 2021. Managing and maintaining weight has become a key pillar around American eating approaches. The Hartman Group study reported that, </w:t>
            </w:r>
            <w:r w:rsidRPr="00574B3C">
              <w:rPr>
                <w:i/>
                <w:iCs/>
                <w:sz w:val="24"/>
                <w:szCs w:val="24"/>
              </w:rPr>
              <w:t xml:space="preserve">“Consumers are drawn to a “plant-based” approach as it aligns with key ideas in modern health and wellness.” </w:t>
            </w:r>
            <w:r w:rsidRPr="00574B3C">
              <w:rPr>
                <w:sz w:val="24"/>
                <w:szCs w:val="24"/>
              </w:rPr>
              <w:t>A finding of special note is that,</w:t>
            </w:r>
            <w:r w:rsidRPr="00574B3C">
              <w:rPr>
                <w:i/>
                <w:iCs/>
                <w:sz w:val="24"/>
                <w:szCs w:val="24"/>
              </w:rPr>
              <w:t xml:space="preserve"> “Interest in animal-free alternatives hasn’t changed the cultural ambivalence toward soy (in America).” </w:t>
            </w:r>
          </w:p>
          <w:p w14:paraId="6C8EEF31" w14:textId="77777777" w:rsidR="00761C7A" w:rsidRDefault="00761C7A" w:rsidP="00761C7A">
            <w:pPr>
              <w:rPr>
                <w:sz w:val="24"/>
                <w:szCs w:val="24"/>
              </w:rPr>
            </w:pPr>
          </w:p>
          <w:p w14:paraId="3DD82489" w14:textId="125F4962" w:rsidR="00761C7A" w:rsidRDefault="00761C7A" w:rsidP="00761C7A">
            <w:pPr>
              <w:rPr>
                <w:sz w:val="24"/>
                <w:szCs w:val="24"/>
              </w:rPr>
            </w:pPr>
            <w:r>
              <w:rPr>
                <w:sz w:val="24"/>
                <w:szCs w:val="24"/>
              </w:rPr>
              <w:t xml:space="preserve">Ernst &amp; Young’s 2020 forecasted consumer shift is proving to be a market disrupter, with food and drink opportunities expanding for products aligned with desired product characteristics. Whole vegetable soy food products fit the bill on several desirability scales. </w:t>
            </w:r>
          </w:p>
          <w:p w14:paraId="0A6CD445" w14:textId="77777777" w:rsidR="00761C7A" w:rsidRDefault="00761C7A" w:rsidP="00761C7A">
            <w:pPr>
              <w:rPr>
                <w:sz w:val="24"/>
                <w:szCs w:val="24"/>
              </w:rPr>
            </w:pPr>
          </w:p>
          <w:p w14:paraId="27FE692C" w14:textId="4D9732A0" w:rsidR="00761C7A" w:rsidRPr="00FA7432" w:rsidRDefault="00761C7A" w:rsidP="00761C7A">
            <w:pPr>
              <w:rPr>
                <w:sz w:val="24"/>
                <w:szCs w:val="24"/>
              </w:rPr>
            </w:pPr>
            <w:r>
              <w:rPr>
                <w:sz w:val="24"/>
                <w:szCs w:val="24"/>
              </w:rPr>
              <w:t xml:space="preserve">The evidence is clear and pervasive. Expanding a whole soy food market will require meeting the standards of a shifting marketplace. Proactive messaging must respond to specific consumer concerns undergirding the noted cultural ambivalence toward soy. Mintel predicts that </w:t>
            </w:r>
            <w:r w:rsidRPr="00574B3C">
              <w:rPr>
                <w:i/>
                <w:iCs/>
                <w:sz w:val="24"/>
                <w:szCs w:val="24"/>
              </w:rPr>
              <w:t>“Honest and thorough communication with customers will be critical in this evolving culture.”</w:t>
            </w:r>
            <w:r>
              <w:rPr>
                <w:sz w:val="24"/>
                <w:szCs w:val="24"/>
              </w:rPr>
              <w:t xml:space="preserve">  The origins of the reported cultural ambivalence must be understood before we rush to message. </w:t>
            </w:r>
          </w:p>
          <w:p w14:paraId="10D628F9" w14:textId="77777777" w:rsidR="00761C7A" w:rsidRDefault="00761C7A" w:rsidP="00761C7A">
            <w:pPr>
              <w:rPr>
                <w:sz w:val="24"/>
                <w:szCs w:val="24"/>
                <w:u w:val="single"/>
              </w:rPr>
            </w:pPr>
          </w:p>
          <w:p w14:paraId="661588CF" w14:textId="0C180721" w:rsidR="00761C7A" w:rsidRPr="00934E5F" w:rsidRDefault="00761C7A" w:rsidP="00761C7A">
            <w:pPr>
              <w:rPr>
                <w:sz w:val="24"/>
                <w:szCs w:val="24"/>
                <w:u w:val="single"/>
              </w:rPr>
            </w:pPr>
            <w:r>
              <w:rPr>
                <w:sz w:val="24"/>
                <w:szCs w:val="24"/>
                <w:u w:val="single"/>
              </w:rPr>
              <w:t>Profitability analysis for vegetable soybean groups</w:t>
            </w:r>
          </w:p>
          <w:p w14:paraId="632E6682" w14:textId="77777777" w:rsidR="00761C7A" w:rsidRPr="00934E5F" w:rsidRDefault="00761C7A" w:rsidP="00761C7A">
            <w:pPr>
              <w:pStyle w:val="ListParagraph"/>
              <w:numPr>
                <w:ilvl w:val="0"/>
                <w:numId w:val="46"/>
              </w:numPr>
              <w:spacing w:after="160" w:line="259" w:lineRule="auto"/>
              <w:rPr>
                <w:sz w:val="24"/>
                <w:szCs w:val="24"/>
              </w:rPr>
            </w:pPr>
            <w:r>
              <w:rPr>
                <w:sz w:val="24"/>
                <w:szCs w:val="24"/>
              </w:rPr>
              <w:t>Initial interviews and data review conducted during this quarter.</w:t>
            </w:r>
          </w:p>
          <w:p w14:paraId="71384027" w14:textId="77777777" w:rsidR="00957DE7" w:rsidRPr="003507CA" w:rsidRDefault="00957DE7" w:rsidP="003507CA">
            <w:pPr>
              <w:spacing w:line="240" w:lineRule="auto"/>
              <w:rPr>
                <w:rFonts w:asciiTheme="minorHAnsi" w:hAnsiTheme="minorHAnsi" w:cstheme="minorHAnsi"/>
                <w:sz w:val="22"/>
                <w:szCs w:val="22"/>
              </w:rPr>
            </w:pPr>
          </w:p>
        </w:tc>
      </w:tr>
    </w:tbl>
    <w:p w14:paraId="6610DCF4" w14:textId="77777777" w:rsidR="0025429E" w:rsidRPr="003507CA" w:rsidRDefault="0025429E" w:rsidP="003507CA">
      <w:pPr>
        <w:spacing w:line="240" w:lineRule="auto"/>
        <w:rPr>
          <w:rFonts w:asciiTheme="minorHAnsi" w:hAnsiTheme="minorHAnsi" w:cstheme="minorHAnsi"/>
          <w:sz w:val="22"/>
          <w:szCs w:val="22"/>
        </w:rPr>
      </w:pPr>
    </w:p>
    <w:sectPr w:rsidR="0025429E" w:rsidRPr="003507CA" w:rsidSect="00E814B8">
      <w:headerReference w:type="first" r:id="rId10"/>
      <w:footerReference w:type="first" r:id="rId11"/>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35AA" w14:textId="77777777" w:rsidR="00FB65BA" w:rsidRDefault="00FB65BA" w:rsidP="00BD1E89">
      <w:pPr>
        <w:spacing w:line="240" w:lineRule="auto"/>
      </w:pPr>
      <w:r>
        <w:separator/>
      </w:r>
    </w:p>
  </w:endnote>
  <w:endnote w:type="continuationSeparator" w:id="0">
    <w:p w14:paraId="143B6736" w14:textId="77777777" w:rsidR="00FB65BA" w:rsidRDefault="00FB65BA"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65E14" w14:textId="77777777" w:rsidR="00782D0B" w:rsidRPr="00782D0B" w:rsidRDefault="00EA2626">
    <w:pPr>
      <w:pStyle w:val="Footer"/>
      <w:rPr>
        <w:rFonts w:asciiTheme="minorHAnsi" w:hAnsiTheme="minorHAnsi" w:cstheme="minorHAnsi"/>
        <w:sz w:val="16"/>
      </w:rPr>
    </w:pPr>
    <w:r>
      <w:rPr>
        <w:rFonts w:asciiTheme="minorHAnsi" w:hAnsiTheme="minorHAnsi" w:cstheme="minorHAnsi"/>
        <w:sz w:val="16"/>
      </w:rPr>
      <w:t>Rev20210901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0F4207" w14:textId="77777777" w:rsidR="00FB65BA" w:rsidRDefault="00FB65BA" w:rsidP="00BD1E89">
      <w:pPr>
        <w:spacing w:line="240" w:lineRule="auto"/>
      </w:pPr>
      <w:r>
        <w:separator/>
      </w:r>
    </w:p>
  </w:footnote>
  <w:footnote w:type="continuationSeparator" w:id="0">
    <w:p w14:paraId="4C3A07AB" w14:textId="77777777" w:rsidR="00FB65BA" w:rsidRDefault="00FB65BA"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4BBB3" w14:textId="77777777" w:rsidR="00FF4F4F" w:rsidRPr="00981460" w:rsidRDefault="00FD2FD6" w:rsidP="00AD5407">
    <w:pPr>
      <w:pStyle w:val="Title"/>
      <w:ind w:right="-360"/>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1E7BDC"/>
    <w:multiLevelType w:val="hybridMultilevel"/>
    <w:tmpl w:val="E23E1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5" w15:restartNumberingAfterBreak="0">
    <w:nsid w:val="357D43CC"/>
    <w:multiLevelType w:val="hybridMultilevel"/>
    <w:tmpl w:val="D4960612"/>
    <w:lvl w:ilvl="0" w:tplc="E0C6B0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6"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2145713">
    <w:abstractNumId w:val="22"/>
  </w:num>
  <w:num w:numId="2" w16cid:durableId="1951859667">
    <w:abstractNumId w:val="26"/>
  </w:num>
  <w:num w:numId="3" w16cid:durableId="451366229">
    <w:abstractNumId w:val="4"/>
  </w:num>
  <w:num w:numId="4" w16cid:durableId="1403720778">
    <w:abstractNumId w:val="5"/>
  </w:num>
  <w:num w:numId="5" w16cid:durableId="1774398347">
    <w:abstractNumId w:val="25"/>
  </w:num>
  <w:num w:numId="6" w16cid:durableId="678848347">
    <w:abstractNumId w:val="14"/>
  </w:num>
  <w:num w:numId="7" w16cid:durableId="1151825843">
    <w:abstractNumId w:val="8"/>
  </w:num>
  <w:num w:numId="8" w16cid:durableId="745492915">
    <w:abstractNumId w:val="28"/>
  </w:num>
  <w:num w:numId="9" w16cid:durableId="5183228">
    <w:abstractNumId w:val="10"/>
  </w:num>
  <w:num w:numId="10" w16cid:durableId="1313868613">
    <w:abstractNumId w:val="13"/>
  </w:num>
  <w:num w:numId="11" w16cid:durableId="778918054">
    <w:abstractNumId w:val="16"/>
  </w:num>
  <w:num w:numId="12" w16cid:durableId="761149678">
    <w:abstractNumId w:val="25"/>
  </w:num>
  <w:num w:numId="13" w16cid:durableId="1640067538">
    <w:abstractNumId w:val="21"/>
  </w:num>
  <w:num w:numId="14" w16cid:durableId="118380043">
    <w:abstractNumId w:val="6"/>
  </w:num>
  <w:num w:numId="15" w16cid:durableId="1188720173">
    <w:abstractNumId w:val="30"/>
  </w:num>
  <w:num w:numId="16" w16cid:durableId="2108965161">
    <w:abstractNumId w:val="20"/>
  </w:num>
  <w:num w:numId="17" w16cid:durableId="455107383">
    <w:abstractNumId w:val="2"/>
  </w:num>
  <w:num w:numId="18" w16cid:durableId="1923100236">
    <w:abstractNumId w:val="19"/>
  </w:num>
  <w:num w:numId="19" w16cid:durableId="706876035">
    <w:abstractNumId w:val="7"/>
  </w:num>
  <w:num w:numId="20" w16cid:durableId="1396124417">
    <w:abstractNumId w:val="29"/>
  </w:num>
  <w:num w:numId="21" w16cid:durableId="422147475">
    <w:abstractNumId w:val="11"/>
  </w:num>
  <w:num w:numId="22" w16cid:durableId="98373180">
    <w:abstractNumId w:val="17"/>
  </w:num>
  <w:num w:numId="23" w16cid:durableId="1020084808">
    <w:abstractNumId w:val="27"/>
  </w:num>
  <w:num w:numId="24" w16cid:durableId="995379775">
    <w:abstractNumId w:val="14"/>
  </w:num>
  <w:num w:numId="25" w16cid:durableId="1199854744">
    <w:abstractNumId w:val="25"/>
  </w:num>
  <w:num w:numId="26" w16cid:durableId="389885303">
    <w:abstractNumId w:val="25"/>
  </w:num>
  <w:num w:numId="27" w16cid:durableId="870075450">
    <w:abstractNumId w:val="25"/>
  </w:num>
  <w:num w:numId="28" w16cid:durableId="928273442">
    <w:abstractNumId w:val="25"/>
  </w:num>
  <w:num w:numId="29" w16cid:durableId="1768043369">
    <w:abstractNumId w:val="14"/>
  </w:num>
  <w:num w:numId="30" w16cid:durableId="1974484613">
    <w:abstractNumId w:val="14"/>
  </w:num>
  <w:num w:numId="31" w16cid:durableId="351147434">
    <w:abstractNumId w:val="14"/>
  </w:num>
  <w:num w:numId="32" w16cid:durableId="1967195825">
    <w:abstractNumId w:val="14"/>
  </w:num>
  <w:num w:numId="33" w16cid:durableId="1321882478">
    <w:abstractNumId w:val="14"/>
  </w:num>
  <w:num w:numId="34" w16cid:durableId="1042630334">
    <w:abstractNumId w:val="25"/>
  </w:num>
  <w:num w:numId="35" w16cid:durableId="1275477702">
    <w:abstractNumId w:val="25"/>
  </w:num>
  <w:num w:numId="36" w16cid:durableId="866942840">
    <w:abstractNumId w:val="32"/>
  </w:num>
  <w:num w:numId="37" w16cid:durableId="1193957533">
    <w:abstractNumId w:val="1"/>
  </w:num>
  <w:num w:numId="38" w16cid:durableId="2125348760">
    <w:abstractNumId w:val="0"/>
  </w:num>
  <w:num w:numId="39" w16cid:durableId="738552239">
    <w:abstractNumId w:val="31"/>
  </w:num>
  <w:num w:numId="40" w16cid:durableId="1616250030">
    <w:abstractNumId w:val="12"/>
  </w:num>
  <w:num w:numId="41" w16cid:durableId="370031680">
    <w:abstractNumId w:val="18"/>
  </w:num>
  <w:num w:numId="42" w16cid:durableId="1860779978">
    <w:abstractNumId w:val="24"/>
  </w:num>
  <w:num w:numId="43" w16cid:durableId="1415514541">
    <w:abstractNumId w:val="3"/>
  </w:num>
  <w:num w:numId="44" w16cid:durableId="904997180">
    <w:abstractNumId w:val="23"/>
  </w:num>
  <w:num w:numId="45" w16cid:durableId="1450509866">
    <w:abstractNumId w:val="15"/>
  </w:num>
  <w:num w:numId="46" w16cid:durableId="160773346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14790"/>
    <w:rsid w:val="0001709F"/>
    <w:rsid w:val="0003601D"/>
    <w:rsid w:val="00037FDA"/>
    <w:rsid w:val="0004056A"/>
    <w:rsid w:val="00054EF7"/>
    <w:rsid w:val="000613DF"/>
    <w:rsid w:val="0007079A"/>
    <w:rsid w:val="00083E61"/>
    <w:rsid w:val="00087C7F"/>
    <w:rsid w:val="000942F4"/>
    <w:rsid w:val="000A378E"/>
    <w:rsid w:val="000B06CD"/>
    <w:rsid w:val="000B7D6D"/>
    <w:rsid w:val="000C41F6"/>
    <w:rsid w:val="000D2F5F"/>
    <w:rsid w:val="000D726D"/>
    <w:rsid w:val="000D782C"/>
    <w:rsid w:val="000E6330"/>
    <w:rsid w:val="00107714"/>
    <w:rsid w:val="00115BC3"/>
    <w:rsid w:val="00123E01"/>
    <w:rsid w:val="00153F61"/>
    <w:rsid w:val="0016007C"/>
    <w:rsid w:val="00162654"/>
    <w:rsid w:val="00184DBB"/>
    <w:rsid w:val="001943BF"/>
    <w:rsid w:val="001A6320"/>
    <w:rsid w:val="001B5C81"/>
    <w:rsid w:val="001C3132"/>
    <w:rsid w:val="001C34A3"/>
    <w:rsid w:val="001C4C57"/>
    <w:rsid w:val="001D1DD2"/>
    <w:rsid w:val="001E2F8F"/>
    <w:rsid w:val="00203599"/>
    <w:rsid w:val="002044CF"/>
    <w:rsid w:val="002148E3"/>
    <w:rsid w:val="00222CD2"/>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0AEB"/>
    <w:rsid w:val="00302EDA"/>
    <w:rsid w:val="00320C8D"/>
    <w:rsid w:val="0032545C"/>
    <w:rsid w:val="003312EE"/>
    <w:rsid w:val="00333B09"/>
    <w:rsid w:val="00335A26"/>
    <w:rsid w:val="00335FC1"/>
    <w:rsid w:val="003507CA"/>
    <w:rsid w:val="0035304F"/>
    <w:rsid w:val="003621D3"/>
    <w:rsid w:val="00362A90"/>
    <w:rsid w:val="00373BBC"/>
    <w:rsid w:val="00383AB7"/>
    <w:rsid w:val="00383F0E"/>
    <w:rsid w:val="00390570"/>
    <w:rsid w:val="00392592"/>
    <w:rsid w:val="00396079"/>
    <w:rsid w:val="003B2A34"/>
    <w:rsid w:val="003B5F5A"/>
    <w:rsid w:val="003B7A55"/>
    <w:rsid w:val="003D3E21"/>
    <w:rsid w:val="003D6401"/>
    <w:rsid w:val="003F6841"/>
    <w:rsid w:val="00402D0B"/>
    <w:rsid w:val="00406CFF"/>
    <w:rsid w:val="004073DA"/>
    <w:rsid w:val="004076FD"/>
    <w:rsid w:val="00410A0D"/>
    <w:rsid w:val="0041728E"/>
    <w:rsid w:val="0042023B"/>
    <w:rsid w:val="00424292"/>
    <w:rsid w:val="00425FE4"/>
    <w:rsid w:val="004307E6"/>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35394"/>
    <w:rsid w:val="0054156B"/>
    <w:rsid w:val="00550D67"/>
    <w:rsid w:val="00582B63"/>
    <w:rsid w:val="005844D0"/>
    <w:rsid w:val="00596B63"/>
    <w:rsid w:val="005A61C0"/>
    <w:rsid w:val="005B5964"/>
    <w:rsid w:val="005D7144"/>
    <w:rsid w:val="005E2A77"/>
    <w:rsid w:val="005E7DB4"/>
    <w:rsid w:val="005F492E"/>
    <w:rsid w:val="0060410C"/>
    <w:rsid w:val="00605758"/>
    <w:rsid w:val="00605BA8"/>
    <w:rsid w:val="00632864"/>
    <w:rsid w:val="00643728"/>
    <w:rsid w:val="006507FB"/>
    <w:rsid w:val="006572F3"/>
    <w:rsid w:val="00657693"/>
    <w:rsid w:val="006709BB"/>
    <w:rsid w:val="00684BCF"/>
    <w:rsid w:val="00685ED5"/>
    <w:rsid w:val="00693D9D"/>
    <w:rsid w:val="0069666C"/>
    <w:rsid w:val="006A3912"/>
    <w:rsid w:val="006A6A77"/>
    <w:rsid w:val="006A6CCC"/>
    <w:rsid w:val="006B1F6B"/>
    <w:rsid w:val="006D3433"/>
    <w:rsid w:val="006E0A14"/>
    <w:rsid w:val="006E24E6"/>
    <w:rsid w:val="006E412F"/>
    <w:rsid w:val="006F26E4"/>
    <w:rsid w:val="006F6240"/>
    <w:rsid w:val="006F62F8"/>
    <w:rsid w:val="00704574"/>
    <w:rsid w:val="00713B34"/>
    <w:rsid w:val="00717254"/>
    <w:rsid w:val="007249F5"/>
    <w:rsid w:val="007259A0"/>
    <w:rsid w:val="00727DDA"/>
    <w:rsid w:val="00733D8F"/>
    <w:rsid w:val="00736421"/>
    <w:rsid w:val="00744EF4"/>
    <w:rsid w:val="007521E7"/>
    <w:rsid w:val="00761C7A"/>
    <w:rsid w:val="00773484"/>
    <w:rsid w:val="00777C6E"/>
    <w:rsid w:val="007823B2"/>
    <w:rsid w:val="00782D0B"/>
    <w:rsid w:val="007860C0"/>
    <w:rsid w:val="00794235"/>
    <w:rsid w:val="007A72A3"/>
    <w:rsid w:val="007B0BBB"/>
    <w:rsid w:val="007B7BC8"/>
    <w:rsid w:val="007C03E3"/>
    <w:rsid w:val="007C2C8A"/>
    <w:rsid w:val="007C520F"/>
    <w:rsid w:val="007D0E1B"/>
    <w:rsid w:val="007D5174"/>
    <w:rsid w:val="00806DDF"/>
    <w:rsid w:val="008101B7"/>
    <w:rsid w:val="00810449"/>
    <w:rsid w:val="00811CAB"/>
    <w:rsid w:val="00824CD4"/>
    <w:rsid w:val="008457BA"/>
    <w:rsid w:val="00845912"/>
    <w:rsid w:val="008562C0"/>
    <w:rsid w:val="00864BAF"/>
    <w:rsid w:val="0088793A"/>
    <w:rsid w:val="00897B7D"/>
    <w:rsid w:val="008B1D7D"/>
    <w:rsid w:val="008B4A0E"/>
    <w:rsid w:val="008C6D67"/>
    <w:rsid w:val="008D473B"/>
    <w:rsid w:val="008E391F"/>
    <w:rsid w:val="008F1BE4"/>
    <w:rsid w:val="008F1CF3"/>
    <w:rsid w:val="008F5FC8"/>
    <w:rsid w:val="009145F9"/>
    <w:rsid w:val="00917422"/>
    <w:rsid w:val="009211F7"/>
    <w:rsid w:val="0092416B"/>
    <w:rsid w:val="009245D5"/>
    <w:rsid w:val="009258E5"/>
    <w:rsid w:val="00944003"/>
    <w:rsid w:val="00957DE7"/>
    <w:rsid w:val="0096092A"/>
    <w:rsid w:val="00964D40"/>
    <w:rsid w:val="00966780"/>
    <w:rsid w:val="0097290B"/>
    <w:rsid w:val="00974467"/>
    <w:rsid w:val="00981460"/>
    <w:rsid w:val="00994AEE"/>
    <w:rsid w:val="009C246A"/>
    <w:rsid w:val="009C5215"/>
    <w:rsid w:val="009C5A99"/>
    <w:rsid w:val="009D4D42"/>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80AEA"/>
    <w:rsid w:val="00A86BA2"/>
    <w:rsid w:val="00A929F3"/>
    <w:rsid w:val="00AA0D60"/>
    <w:rsid w:val="00AA6752"/>
    <w:rsid w:val="00AB4B27"/>
    <w:rsid w:val="00AB63EC"/>
    <w:rsid w:val="00AC69AD"/>
    <w:rsid w:val="00AD5407"/>
    <w:rsid w:val="00AE34BF"/>
    <w:rsid w:val="00AE3CBA"/>
    <w:rsid w:val="00B14FD9"/>
    <w:rsid w:val="00B162EB"/>
    <w:rsid w:val="00B20FB0"/>
    <w:rsid w:val="00B316A1"/>
    <w:rsid w:val="00B31D47"/>
    <w:rsid w:val="00B33DA7"/>
    <w:rsid w:val="00B3786C"/>
    <w:rsid w:val="00B42C7C"/>
    <w:rsid w:val="00B54C8A"/>
    <w:rsid w:val="00B603B4"/>
    <w:rsid w:val="00B67297"/>
    <w:rsid w:val="00B7052F"/>
    <w:rsid w:val="00B71665"/>
    <w:rsid w:val="00B74CE8"/>
    <w:rsid w:val="00B7562B"/>
    <w:rsid w:val="00B7577C"/>
    <w:rsid w:val="00B84923"/>
    <w:rsid w:val="00B9325C"/>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758F8"/>
    <w:rsid w:val="00C86881"/>
    <w:rsid w:val="00C9612A"/>
    <w:rsid w:val="00CA2F5D"/>
    <w:rsid w:val="00CA4CDD"/>
    <w:rsid w:val="00CC0B25"/>
    <w:rsid w:val="00CD0D59"/>
    <w:rsid w:val="00CE4772"/>
    <w:rsid w:val="00CE7303"/>
    <w:rsid w:val="00CF1E6A"/>
    <w:rsid w:val="00D00099"/>
    <w:rsid w:val="00D04BE9"/>
    <w:rsid w:val="00D04C40"/>
    <w:rsid w:val="00D15EA8"/>
    <w:rsid w:val="00D250FF"/>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DF5E9A"/>
    <w:rsid w:val="00E01D04"/>
    <w:rsid w:val="00E109F2"/>
    <w:rsid w:val="00E11369"/>
    <w:rsid w:val="00E24EB0"/>
    <w:rsid w:val="00E438DD"/>
    <w:rsid w:val="00E5787F"/>
    <w:rsid w:val="00E715EE"/>
    <w:rsid w:val="00E722DC"/>
    <w:rsid w:val="00E7793C"/>
    <w:rsid w:val="00E806A9"/>
    <w:rsid w:val="00E814B8"/>
    <w:rsid w:val="00E83449"/>
    <w:rsid w:val="00E90475"/>
    <w:rsid w:val="00EA0768"/>
    <w:rsid w:val="00EA25AD"/>
    <w:rsid w:val="00EA2626"/>
    <w:rsid w:val="00EC043D"/>
    <w:rsid w:val="00EC1BEF"/>
    <w:rsid w:val="00ED05E7"/>
    <w:rsid w:val="00ED3898"/>
    <w:rsid w:val="00EE73BE"/>
    <w:rsid w:val="00EF3730"/>
    <w:rsid w:val="00EF3E19"/>
    <w:rsid w:val="00EF45C6"/>
    <w:rsid w:val="00EF46CC"/>
    <w:rsid w:val="00F01CE3"/>
    <w:rsid w:val="00F06AE9"/>
    <w:rsid w:val="00F071B8"/>
    <w:rsid w:val="00F11B50"/>
    <w:rsid w:val="00F16477"/>
    <w:rsid w:val="00F17913"/>
    <w:rsid w:val="00F35D9B"/>
    <w:rsid w:val="00F37A69"/>
    <w:rsid w:val="00F503DA"/>
    <w:rsid w:val="00F52113"/>
    <w:rsid w:val="00F541F4"/>
    <w:rsid w:val="00F71C12"/>
    <w:rsid w:val="00F76142"/>
    <w:rsid w:val="00F87E60"/>
    <w:rsid w:val="00FA1622"/>
    <w:rsid w:val="00FA3A24"/>
    <w:rsid w:val="00FA603D"/>
    <w:rsid w:val="00FB0EE9"/>
    <w:rsid w:val="00FB65BA"/>
    <w:rsid w:val="00FB761F"/>
    <w:rsid w:val="00FC79A8"/>
    <w:rsid w:val="00FD2FD6"/>
    <w:rsid w:val="00FF4F4F"/>
    <w:rsid w:val="00FF53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2EC4A"/>
  <w15:docId w15:val="{D2BB33A0-31F4-487D-BDC2-B9A5CECD1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82149684">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ybeanresearchdata.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6317A9-890B-4E0E-BC6E-FD60F14ED8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cp:lastModifiedBy>
  <cp:revision>2</cp:revision>
  <cp:lastPrinted>2015-12-03T22:07:00Z</cp:lastPrinted>
  <dcterms:created xsi:type="dcterms:W3CDTF">2022-06-15T15:23:00Z</dcterms:created>
  <dcterms:modified xsi:type="dcterms:W3CDTF">2022-06-15T15:23:00Z</dcterms:modified>
</cp:coreProperties>
</file>