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426"/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3"/>
        <w:gridCol w:w="88"/>
        <w:gridCol w:w="1505"/>
        <w:gridCol w:w="2111"/>
        <w:gridCol w:w="247"/>
        <w:gridCol w:w="1304"/>
        <w:gridCol w:w="1390"/>
        <w:gridCol w:w="2451"/>
      </w:tblGrid>
      <w:tr w:rsidR="0093788C" w:rsidRPr="0093788C" w14:paraId="7BAC6781" w14:textId="77777777" w:rsidTr="00926D85">
        <w:trPr>
          <w:cantSplit/>
          <w:trHeight w:val="213"/>
        </w:trPr>
        <w:tc>
          <w:tcPr>
            <w:tcW w:w="1791" w:type="dxa"/>
            <w:gridSpan w:val="2"/>
            <w:shd w:val="clear" w:color="auto" w:fill="auto"/>
            <w:vAlign w:val="center"/>
          </w:tcPr>
          <w:p w14:paraId="7AF681C4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Project Title</w:t>
            </w: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0B7752B4" w14:textId="39731478" w:rsidR="0093788C" w:rsidRPr="0093788C" w:rsidRDefault="001335FC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335FC">
              <w:rPr>
                <w:rFonts w:ascii="Calibri" w:eastAsia="Times New Roman" w:hAnsi="Calibri" w:cs="Calibri"/>
                <w:sz w:val="24"/>
                <w:szCs w:val="24"/>
              </w:rPr>
              <w:t>Development of functional ultra-high stearic acid soybean germplasms</w:t>
            </w:r>
          </w:p>
        </w:tc>
      </w:tr>
      <w:tr w:rsidR="0093788C" w:rsidRPr="0093788C" w14:paraId="359DC4E9" w14:textId="77777777" w:rsidTr="00926D85">
        <w:trPr>
          <w:cantSplit/>
          <w:trHeight w:val="213"/>
        </w:trPr>
        <w:tc>
          <w:tcPr>
            <w:tcW w:w="1791" w:type="dxa"/>
            <w:gridSpan w:val="2"/>
            <w:shd w:val="clear" w:color="auto" w:fill="auto"/>
          </w:tcPr>
          <w:p w14:paraId="200BAED6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34220383"/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Name</w:t>
            </w:r>
          </w:p>
        </w:tc>
        <w:tc>
          <w:tcPr>
            <w:tcW w:w="3863" w:type="dxa"/>
            <w:gridSpan w:val="3"/>
            <w:shd w:val="clear" w:color="auto" w:fill="C5E0B3" w:themeFill="accent6" w:themeFillTint="66"/>
          </w:tcPr>
          <w:p w14:paraId="7B3EFBAA" w14:textId="5DED14A1" w:rsidR="0093788C" w:rsidRPr="0093788C" w:rsidRDefault="001335FC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Pengyin Chen</w:t>
            </w:r>
          </w:p>
        </w:tc>
        <w:tc>
          <w:tcPr>
            <w:tcW w:w="1303" w:type="dxa"/>
            <w:shd w:val="clear" w:color="auto" w:fill="auto"/>
          </w:tcPr>
          <w:p w14:paraId="3A49A43E" w14:textId="77777777" w:rsidR="0093788C" w:rsidRPr="007C031F" w:rsidRDefault="0093788C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E-</w:t>
            </w:r>
            <w:r w:rsidRPr="007C031F">
              <w:rPr>
                <w:rFonts w:ascii="Calibri" w:eastAsia="Times New Roman" w:hAnsi="Calibri" w:cs="Calibri"/>
                <w:sz w:val="24"/>
                <w:szCs w:val="24"/>
                <w:shd w:val="clear" w:color="auto" w:fill="FFFFFF"/>
              </w:rPr>
              <w:t>mail</w:t>
            </w:r>
          </w:p>
        </w:tc>
        <w:tc>
          <w:tcPr>
            <w:tcW w:w="3840" w:type="dxa"/>
            <w:gridSpan w:val="2"/>
            <w:shd w:val="clear" w:color="auto" w:fill="C5E0B3" w:themeFill="accent6" w:themeFillTint="66"/>
          </w:tcPr>
          <w:p w14:paraId="362E9F30" w14:textId="1869AF32" w:rsidR="0093788C" w:rsidRPr="0093788C" w:rsidRDefault="007A21E9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hyperlink r:id="rId6" w:history="1">
              <w:r w:rsidR="001335FC" w:rsidRPr="003D4341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chenpe@missouri.edu</w:t>
              </w:r>
            </w:hyperlink>
          </w:p>
        </w:tc>
      </w:tr>
      <w:tr w:rsidR="0093788C" w:rsidRPr="0093788C" w14:paraId="46FB31A5" w14:textId="77777777" w:rsidTr="00926D85">
        <w:trPr>
          <w:cantSplit/>
          <w:trHeight w:val="225"/>
        </w:trPr>
        <w:tc>
          <w:tcPr>
            <w:tcW w:w="1791" w:type="dxa"/>
            <w:gridSpan w:val="2"/>
            <w:shd w:val="clear" w:color="auto" w:fill="auto"/>
          </w:tcPr>
          <w:p w14:paraId="0097FBA2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PI’s Title</w:t>
            </w:r>
          </w:p>
        </w:tc>
        <w:tc>
          <w:tcPr>
            <w:tcW w:w="3863" w:type="dxa"/>
            <w:gridSpan w:val="3"/>
            <w:shd w:val="clear" w:color="auto" w:fill="C5E0B3" w:themeFill="accent6" w:themeFillTint="66"/>
          </w:tcPr>
          <w:p w14:paraId="619D3949" w14:textId="69FE3E46" w:rsidR="0093788C" w:rsidRPr="0093788C" w:rsidRDefault="001335FC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Professor and Soybean Breeder</w:t>
            </w:r>
          </w:p>
        </w:tc>
        <w:tc>
          <w:tcPr>
            <w:tcW w:w="1303" w:type="dxa"/>
            <w:shd w:val="clear" w:color="auto" w:fill="auto"/>
          </w:tcPr>
          <w:p w14:paraId="67AB91A4" w14:textId="77777777" w:rsidR="0093788C" w:rsidRPr="007C031F" w:rsidRDefault="0093788C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Institution:</w:t>
            </w:r>
          </w:p>
        </w:tc>
        <w:tc>
          <w:tcPr>
            <w:tcW w:w="3840" w:type="dxa"/>
            <w:gridSpan w:val="2"/>
            <w:shd w:val="clear" w:color="auto" w:fill="C5E0B3" w:themeFill="accent6" w:themeFillTint="66"/>
          </w:tcPr>
          <w:p w14:paraId="3BFF2A01" w14:textId="439474FE" w:rsidR="0093788C" w:rsidRPr="0093788C" w:rsidRDefault="001335FC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University of Missouri – FDRC</w:t>
            </w:r>
          </w:p>
        </w:tc>
      </w:tr>
      <w:tr w:rsidR="0093788C" w:rsidRPr="0093788C" w14:paraId="2CC8E9CE" w14:textId="77777777" w:rsidTr="00926D85">
        <w:trPr>
          <w:cantSplit/>
          <w:trHeight w:val="213"/>
        </w:trPr>
        <w:tc>
          <w:tcPr>
            <w:tcW w:w="1791" w:type="dxa"/>
            <w:gridSpan w:val="2"/>
            <w:shd w:val="clear" w:color="auto" w:fill="auto"/>
          </w:tcPr>
          <w:p w14:paraId="2DAC5325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Mailing Address</w:t>
            </w: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46FE81DE" w14:textId="6702AE1C" w:rsidR="0093788C" w:rsidRPr="0093788C" w:rsidRDefault="001335FC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147 State Highway T; Fisher Delta Research Center</w:t>
            </w:r>
          </w:p>
        </w:tc>
      </w:tr>
      <w:tr w:rsidR="0093788C" w:rsidRPr="0093788C" w14:paraId="5440DD30" w14:textId="77777777" w:rsidTr="00926D85">
        <w:trPr>
          <w:cantSplit/>
          <w:trHeight w:val="213"/>
        </w:trPr>
        <w:tc>
          <w:tcPr>
            <w:tcW w:w="1791" w:type="dxa"/>
            <w:gridSpan w:val="2"/>
            <w:shd w:val="clear" w:color="auto" w:fill="auto"/>
          </w:tcPr>
          <w:p w14:paraId="32BE5A9B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City/State/Zip </w:t>
            </w: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4BA6ACD2" w14:textId="5ADCC379" w:rsidR="0093788C" w:rsidRPr="0093788C" w:rsidRDefault="003C66CF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Portageville, Missouri, 63873</w:t>
            </w:r>
          </w:p>
        </w:tc>
      </w:tr>
      <w:tr w:rsidR="0093788C" w:rsidRPr="0093788C" w14:paraId="24990301" w14:textId="77777777" w:rsidTr="00926D85">
        <w:trPr>
          <w:cantSplit/>
          <w:trHeight w:val="213"/>
        </w:trPr>
        <w:tc>
          <w:tcPr>
            <w:tcW w:w="1791" w:type="dxa"/>
            <w:gridSpan w:val="2"/>
            <w:shd w:val="clear" w:color="auto" w:fill="auto"/>
          </w:tcPr>
          <w:p w14:paraId="57725FAA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Phone number</w:t>
            </w: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59CCE5CE" w14:textId="54D9C9D0" w:rsidR="0093788C" w:rsidRPr="0093788C" w:rsidRDefault="003C66CF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573-379-6958</w:t>
            </w:r>
          </w:p>
        </w:tc>
      </w:tr>
      <w:tr w:rsidR="0093788C" w:rsidRPr="0093788C" w14:paraId="0BAC0AA9" w14:textId="77777777" w:rsidTr="00926D85">
        <w:trPr>
          <w:cantSplit/>
          <w:trHeight w:val="582"/>
        </w:trPr>
        <w:tc>
          <w:tcPr>
            <w:tcW w:w="1791" w:type="dxa"/>
            <w:gridSpan w:val="2"/>
            <w:shd w:val="clear" w:color="auto" w:fill="auto"/>
          </w:tcPr>
          <w:p w14:paraId="1D14F7CF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Additional PIs</w:t>
            </w:r>
          </w:p>
          <w:p w14:paraId="48738DC0" w14:textId="77777777" w:rsidR="0093788C" w:rsidRPr="007C031F" w:rsidRDefault="0093788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For this project</w:t>
            </w: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1411D884" w14:textId="64D29C6D" w:rsidR="0093788C" w:rsidRPr="0093788C" w:rsidRDefault="0042177D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Caio Canella Vieira (</w:t>
            </w:r>
            <w:r w:rsidR="00957B4C">
              <w:rPr>
                <w:rFonts w:ascii="Calibri" w:eastAsia="Times New Roman" w:hAnsi="Calibri" w:cs="Calibri"/>
                <w:sz w:val="24"/>
                <w:szCs w:val="24"/>
              </w:rPr>
              <w:t>Research Specialist/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PhD Student); canellavieirac@mail.missouri.edu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br/>
              <w:t>University of Missouri – FDRC</w:t>
            </w:r>
          </w:p>
        </w:tc>
      </w:tr>
      <w:tr w:rsidR="0093788C" w:rsidRPr="0093788C" w14:paraId="30CA0B9B" w14:textId="77777777" w:rsidTr="00926D85">
        <w:trPr>
          <w:cantSplit/>
          <w:trHeight w:val="51"/>
        </w:trPr>
        <w:tc>
          <w:tcPr>
            <w:tcW w:w="1791" w:type="dxa"/>
            <w:gridSpan w:val="2"/>
            <w:shd w:val="clear" w:color="auto" w:fill="auto"/>
          </w:tcPr>
          <w:p w14:paraId="6221AC8A" w14:textId="6C6D7A13" w:rsidR="0093788C" w:rsidRPr="0015148C" w:rsidRDefault="0093788C" w:rsidP="00926D85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</w:rPr>
            </w:pPr>
            <w:r w:rsidRPr="0015148C">
              <w:rPr>
                <w:rFonts w:eastAsia="Times New Roman" w:cstheme="minorHAnsi"/>
                <w:sz w:val="20"/>
                <w:szCs w:val="20"/>
              </w:rPr>
              <w:t>Research Locations</w:t>
            </w:r>
            <w:r w:rsidR="005804C7" w:rsidRPr="0015148C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40E51E59" w14:textId="333AABDE" w:rsidR="0093788C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Portageville, MO</w:t>
            </w:r>
          </w:p>
        </w:tc>
      </w:tr>
      <w:bookmarkEnd w:id="0"/>
      <w:tr w:rsidR="0093788C" w:rsidRPr="0093788C" w14:paraId="19257D98" w14:textId="77777777" w:rsidTr="00926D85">
        <w:trPr>
          <w:cantSplit/>
          <w:trHeight w:val="270"/>
        </w:trPr>
        <w:tc>
          <w:tcPr>
            <w:tcW w:w="3296" w:type="dxa"/>
            <w:gridSpan w:val="3"/>
            <w:vMerge w:val="restart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522C19E4" w14:textId="77777777" w:rsidR="0093788C" w:rsidRPr="0093788C" w:rsidRDefault="0093788C" w:rsidP="00926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Timeline: </w:t>
            </w:r>
          </w:p>
          <w:p w14:paraId="00EA1ED7" w14:textId="77777777" w:rsidR="0093788C" w:rsidRPr="0093788C" w:rsidRDefault="0093788C" w:rsidP="00926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>Current Year - FY22</w:t>
            </w:r>
          </w:p>
        </w:tc>
        <w:tc>
          <w:tcPr>
            <w:tcW w:w="7502" w:type="dxa"/>
            <w:gridSpan w:val="5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30ADDDDF" w14:textId="77777777" w:rsidR="0093788C" w:rsidRPr="0093788C" w:rsidRDefault="0093788C" w:rsidP="00926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93788C">
              <w:rPr>
                <w:rFonts w:ascii="Calibri" w:eastAsia="Times New Roman" w:hAnsi="Calibri" w:cs="Calibri"/>
                <w:b/>
                <w:bCs/>
              </w:rPr>
              <w:t xml:space="preserve">Multi-Year Project Information </w:t>
            </w:r>
            <w:r w:rsidRPr="0093788C">
              <w:rPr>
                <w:rFonts w:ascii="Calibri" w:eastAsia="Times New Roman" w:hAnsi="Calibri" w:cs="Calibri"/>
                <w:color w:val="808080"/>
                <w:sz w:val="20"/>
                <w:szCs w:val="20"/>
              </w:rPr>
              <w:t>(if applicable)</w:t>
            </w:r>
          </w:p>
        </w:tc>
      </w:tr>
      <w:tr w:rsidR="0093788C" w:rsidRPr="0093788C" w14:paraId="61179752" w14:textId="77777777" w:rsidTr="00926D85">
        <w:trPr>
          <w:cantSplit/>
          <w:trHeight w:val="225"/>
        </w:trPr>
        <w:tc>
          <w:tcPr>
            <w:tcW w:w="3296" w:type="dxa"/>
            <w:gridSpan w:val="3"/>
            <w:vMerge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4E4FFD6F" w14:textId="77777777" w:rsidR="0093788C" w:rsidRPr="0093788C" w:rsidRDefault="0093788C" w:rsidP="00926D85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11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DBA58E9" w14:textId="77777777" w:rsidR="0093788C" w:rsidRPr="0093788C" w:rsidRDefault="0093788C" w:rsidP="00926D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1</w:t>
            </w:r>
          </w:p>
        </w:tc>
        <w:tc>
          <w:tcPr>
            <w:tcW w:w="2941" w:type="dxa"/>
            <w:gridSpan w:val="3"/>
            <w:shd w:val="clear" w:color="auto" w:fill="C5E0B3" w:themeFill="accent6" w:themeFillTint="66"/>
            <w:vAlign w:val="center"/>
          </w:tcPr>
          <w:p w14:paraId="20F1D30A" w14:textId="77777777" w:rsidR="0093788C" w:rsidRPr="0093788C" w:rsidRDefault="0093788C" w:rsidP="00926D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2</w:t>
            </w:r>
          </w:p>
        </w:tc>
        <w:tc>
          <w:tcPr>
            <w:tcW w:w="2449" w:type="dxa"/>
            <w:shd w:val="clear" w:color="auto" w:fill="C5E0B3" w:themeFill="accent6" w:themeFillTint="66"/>
            <w:vAlign w:val="center"/>
          </w:tcPr>
          <w:p w14:paraId="7839EBCA" w14:textId="77777777" w:rsidR="0093788C" w:rsidRPr="0093788C" w:rsidRDefault="0093788C" w:rsidP="00926D8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Year 3</w:t>
            </w:r>
          </w:p>
        </w:tc>
      </w:tr>
      <w:tr w:rsidR="002852A0" w:rsidRPr="0093788C" w14:paraId="5FF85173" w14:textId="77777777" w:rsidTr="00926D85">
        <w:trPr>
          <w:cantSplit/>
          <w:trHeight w:val="225"/>
        </w:trPr>
        <w:tc>
          <w:tcPr>
            <w:tcW w:w="1703" w:type="dxa"/>
            <w:shd w:val="clear" w:color="auto" w:fill="auto"/>
            <w:vAlign w:val="center"/>
          </w:tcPr>
          <w:p w14:paraId="61151734" w14:textId="77777777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Start Date</w:t>
            </w: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1280DBF" w14:textId="04A2A10F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Oct 1, 2021</w:t>
            </w:r>
          </w:p>
        </w:tc>
        <w:tc>
          <w:tcPr>
            <w:tcW w:w="211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78A4026B" w14:textId="5FA0FF71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Oct 1, 2021</w:t>
            </w:r>
          </w:p>
        </w:tc>
        <w:tc>
          <w:tcPr>
            <w:tcW w:w="2941" w:type="dxa"/>
            <w:gridSpan w:val="3"/>
            <w:shd w:val="clear" w:color="auto" w:fill="C5E0B3" w:themeFill="accent6" w:themeFillTint="66"/>
            <w:vAlign w:val="center"/>
          </w:tcPr>
          <w:p w14:paraId="46FDBF41" w14:textId="30569A27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Oct 1, 2022</w:t>
            </w:r>
          </w:p>
        </w:tc>
        <w:tc>
          <w:tcPr>
            <w:tcW w:w="2449" w:type="dxa"/>
            <w:shd w:val="clear" w:color="auto" w:fill="C5E0B3" w:themeFill="accent6" w:themeFillTint="66"/>
            <w:vAlign w:val="center"/>
          </w:tcPr>
          <w:p w14:paraId="0F9EF3B6" w14:textId="72567168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Oct 1, 2023</w:t>
            </w:r>
          </w:p>
        </w:tc>
      </w:tr>
      <w:tr w:rsidR="002852A0" w:rsidRPr="0093788C" w14:paraId="1BC1B9D8" w14:textId="77777777" w:rsidTr="00926D85">
        <w:trPr>
          <w:cantSplit/>
          <w:trHeight w:val="225"/>
        </w:trPr>
        <w:tc>
          <w:tcPr>
            <w:tcW w:w="1703" w:type="dxa"/>
            <w:shd w:val="clear" w:color="auto" w:fill="auto"/>
            <w:vAlign w:val="center"/>
          </w:tcPr>
          <w:p w14:paraId="54599BCB" w14:textId="77777777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End Date</w:t>
            </w: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CBA8D9F" w14:textId="48F2DCD2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Sep 30, 2022</w:t>
            </w:r>
          </w:p>
        </w:tc>
        <w:tc>
          <w:tcPr>
            <w:tcW w:w="211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6BD7BC30" w14:textId="3E7479AD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</w:rPr>
              <w:t>Sep 30, 2022</w:t>
            </w:r>
          </w:p>
        </w:tc>
        <w:tc>
          <w:tcPr>
            <w:tcW w:w="2941" w:type="dxa"/>
            <w:gridSpan w:val="3"/>
            <w:shd w:val="clear" w:color="auto" w:fill="C5E0B3" w:themeFill="accent6" w:themeFillTint="66"/>
            <w:vAlign w:val="center"/>
          </w:tcPr>
          <w:p w14:paraId="4E5B7CD1" w14:textId="6C2EAF7D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Sep 30, 2023</w:t>
            </w:r>
          </w:p>
        </w:tc>
        <w:tc>
          <w:tcPr>
            <w:tcW w:w="2449" w:type="dxa"/>
            <w:shd w:val="clear" w:color="auto" w:fill="C5E0B3" w:themeFill="accent6" w:themeFillTint="66"/>
            <w:vAlign w:val="center"/>
          </w:tcPr>
          <w:p w14:paraId="26D02FAD" w14:textId="5A973F1C" w:rsidR="002852A0" w:rsidRPr="0093788C" w:rsidRDefault="002852A0" w:rsidP="00926D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Sep 30, 2024</w:t>
            </w:r>
          </w:p>
        </w:tc>
      </w:tr>
      <w:tr w:rsidR="002852A0" w:rsidRPr="0093788C" w14:paraId="659D48C9" w14:textId="77777777" w:rsidTr="00926D85">
        <w:trPr>
          <w:cantSplit/>
          <w:trHeight w:val="225"/>
        </w:trPr>
        <w:tc>
          <w:tcPr>
            <w:tcW w:w="1703" w:type="dxa"/>
            <w:shd w:val="clear" w:color="auto" w:fill="auto"/>
            <w:vAlign w:val="center"/>
          </w:tcPr>
          <w:p w14:paraId="72035D92" w14:textId="77777777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color w:val="808080"/>
              </w:rPr>
            </w:pPr>
            <w:r w:rsidRPr="0093788C">
              <w:rPr>
                <w:rFonts w:ascii="Calibri" w:eastAsia="Times New Roman" w:hAnsi="Calibri" w:cs="Calibri"/>
                <w:color w:val="808080"/>
              </w:rPr>
              <w:t>Funds Requested</w:t>
            </w: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C5E0B3" w:themeFill="accent6" w:themeFillTint="66"/>
            <w:vAlign w:val="center"/>
          </w:tcPr>
          <w:p w14:paraId="06299C89" w14:textId="74E8862D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eastAsia="Times New Roman" w:hAnsi="Calibri" w:cs="Calibri"/>
              </w:rPr>
              <w:t>2</w:t>
            </w:r>
            <w:r w:rsidR="007C1ECF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2111" w:type="dxa"/>
            <w:tcBorders>
              <w:left w:val="single" w:sz="12" w:space="0" w:color="auto"/>
            </w:tcBorders>
            <w:shd w:val="clear" w:color="auto" w:fill="C5E0B3" w:themeFill="accent6" w:themeFillTint="66"/>
            <w:vAlign w:val="center"/>
          </w:tcPr>
          <w:p w14:paraId="0566D5DE" w14:textId="50180259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eastAsia="Times New Roman" w:hAnsi="Calibri" w:cs="Calibri"/>
              </w:rPr>
              <w:t>2</w:t>
            </w:r>
            <w:r w:rsidR="007C1ECF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2941" w:type="dxa"/>
            <w:gridSpan w:val="3"/>
            <w:shd w:val="clear" w:color="auto" w:fill="C5E0B3" w:themeFill="accent6" w:themeFillTint="66"/>
            <w:vAlign w:val="center"/>
          </w:tcPr>
          <w:p w14:paraId="55274B90" w14:textId="744EE605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eastAsia="Times New Roman" w:hAnsi="Calibri" w:cs="Calibri"/>
              </w:rPr>
              <w:t>2</w:t>
            </w:r>
            <w:r w:rsidR="007C1ECF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>,000</w:t>
            </w:r>
          </w:p>
        </w:tc>
        <w:tc>
          <w:tcPr>
            <w:tcW w:w="2449" w:type="dxa"/>
            <w:shd w:val="clear" w:color="auto" w:fill="C5E0B3" w:themeFill="accent6" w:themeFillTint="66"/>
            <w:vAlign w:val="center"/>
          </w:tcPr>
          <w:p w14:paraId="5F8AA9B4" w14:textId="23BD5977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3788C">
              <w:rPr>
                <w:rFonts w:ascii="Calibri" w:eastAsia="Times New Roman" w:hAnsi="Calibri" w:cs="Calibri"/>
              </w:rPr>
              <w:t>$</w:t>
            </w:r>
            <w:r>
              <w:rPr>
                <w:rFonts w:ascii="Calibri" w:eastAsia="Times New Roman" w:hAnsi="Calibri" w:cs="Calibri"/>
              </w:rPr>
              <w:t>2</w:t>
            </w:r>
            <w:r w:rsidR="007C1ECF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>,000</w:t>
            </w:r>
          </w:p>
        </w:tc>
      </w:tr>
      <w:tr w:rsidR="002852A0" w:rsidRPr="0093788C" w14:paraId="7E97AC08" w14:textId="77777777" w:rsidTr="00926D85">
        <w:trPr>
          <w:cantSplit/>
          <w:trHeight w:val="325"/>
        </w:trPr>
        <w:tc>
          <w:tcPr>
            <w:tcW w:w="10799" w:type="dxa"/>
            <w:gridSpan w:val="8"/>
            <w:shd w:val="clear" w:color="auto" w:fill="C5E0B3" w:themeFill="accent6" w:themeFillTint="66"/>
            <w:vAlign w:val="center"/>
          </w:tcPr>
          <w:p w14:paraId="5DFE4486" w14:textId="3FB3990E" w:rsidR="002852A0" w:rsidRPr="0093788C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Program Area 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 xml:space="preserve">(e.g., breeding, </w:t>
            </w:r>
            <w:proofErr w:type="spellStart"/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mngt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.</w:t>
            </w:r>
            <w:r w:rsidRPr="0093788C">
              <w:rPr>
                <w:rFonts w:ascii="Calibri" w:eastAsia="Times New Roman" w:hAnsi="Calibri" w:cs="Calibri"/>
                <w:b/>
                <w:bCs/>
                <w:color w:val="808080"/>
                <w:sz w:val="24"/>
                <w:szCs w:val="24"/>
              </w:rPr>
              <w:t>)</w:t>
            </w:r>
            <w:r w:rsidRPr="0093788C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Breeding for seed composition value</w:t>
            </w:r>
          </w:p>
        </w:tc>
      </w:tr>
      <w:tr w:rsidR="002852A0" w:rsidRPr="0093788C" w14:paraId="14849775" w14:textId="77777777" w:rsidTr="00926D85">
        <w:trPr>
          <w:cantSplit/>
          <w:trHeight w:val="579"/>
        </w:trPr>
        <w:tc>
          <w:tcPr>
            <w:tcW w:w="1791" w:type="dxa"/>
            <w:gridSpan w:val="2"/>
            <w:shd w:val="clear" w:color="auto" w:fill="auto"/>
          </w:tcPr>
          <w:p w14:paraId="1BAFA991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Objectives</w:t>
            </w:r>
          </w:p>
          <w:p w14:paraId="3D08E07D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898F9D3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3FB4C209" w14:textId="54D3D963" w:rsidR="002852A0" w:rsidRPr="0093788C" w:rsidRDefault="003202F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</w:t>
            </w:r>
            <w:r w:rsidRPr="003202F0">
              <w:rPr>
                <w:rFonts w:ascii="Calibri" w:eastAsia="Times New Roman" w:hAnsi="Calibri" w:cs="Calibri"/>
                <w:sz w:val="24"/>
                <w:szCs w:val="24"/>
              </w:rPr>
              <w:t>evelop soybean germplasms adapted to the mid-southern U.S with functional ultra-high stearic acid content and little or no detrimental effects on agronomic traits</w:t>
            </w:r>
          </w:p>
        </w:tc>
      </w:tr>
      <w:tr w:rsidR="002852A0" w:rsidRPr="0093788C" w14:paraId="54E73FF7" w14:textId="77777777" w:rsidTr="009B767E">
        <w:trPr>
          <w:cantSplit/>
          <w:trHeight w:val="621"/>
        </w:trPr>
        <w:tc>
          <w:tcPr>
            <w:tcW w:w="1791" w:type="dxa"/>
            <w:gridSpan w:val="2"/>
            <w:shd w:val="clear" w:color="auto" w:fill="auto"/>
          </w:tcPr>
          <w:p w14:paraId="3DB32238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Justification</w:t>
            </w:r>
          </w:p>
          <w:p w14:paraId="28EFF28D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1838C4EC" w14:textId="66832E09" w:rsidR="002852A0" w:rsidRPr="0093788C" w:rsidRDefault="000D6C82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6C82">
              <w:rPr>
                <w:rFonts w:ascii="Calibri" w:eastAsia="Times New Roman" w:hAnsi="Calibri" w:cs="Calibri"/>
                <w:sz w:val="24"/>
                <w:szCs w:val="24"/>
              </w:rPr>
              <w:t>The industry’s standards for maximum oxidative stability consist of elevated concentrations of stearic and oleic acids and a reduction of the concentration of linolenic acid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2852A0" w:rsidRPr="0093788C" w14:paraId="7FC1A5F3" w14:textId="77777777" w:rsidTr="00926D85">
        <w:trPr>
          <w:cantSplit/>
          <w:trHeight w:val="438"/>
        </w:trPr>
        <w:tc>
          <w:tcPr>
            <w:tcW w:w="1791" w:type="dxa"/>
            <w:gridSpan w:val="2"/>
            <w:shd w:val="clear" w:color="auto" w:fill="auto"/>
          </w:tcPr>
          <w:p w14:paraId="468DC357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 Setup</w:t>
            </w:r>
          </w:p>
          <w:p w14:paraId="478BCDED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5967D776" w14:textId="235D0DCB" w:rsidR="002852A0" w:rsidRPr="0093788C" w:rsidRDefault="00250B93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Two mapping populations to identify the regions of the soybean genome conferring high stearic acid content; Yield trials and germination assays to screen for deleterious effects.</w:t>
            </w:r>
          </w:p>
        </w:tc>
      </w:tr>
      <w:tr w:rsidR="002852A0" w:rsidRPr="0093788C" w14:paraId="66420589" w14:textId="77777777" w:rsidTr="00926D85">
        <w:trPr>
          <w:cantSplit/>
          <w:trHeight w:val="1094"/>
        </w:trPr>
        <w:tc>
          <w:tcPr>
            <w:tcW w:w="1791" w:type="dxa"/>
            <w:gridSpan w:val="2"/>
            <w:shd w:val="clear" w:color="auto" w:fill="auto"/>
          </w:tcPr>
          <w:p w14:paraId="4308648C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 xml:space="preserve">Summary </w:t>
            </w:r>
          </w:p>
          <w:p w14:paraId="34061FB5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69FB3C37" w14:textId="1C62C848" w:rsidR="002852A0" w:rsidRPr="0093788C" w:rsidRDefault="002F24AC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F24AC">
              <w:rPr>
                <w:rFonts w:ascii="Calibri" w:eastAsia="Times New Roman" w:hAnsi="Calibri" w:cs="Calibri"/>
                <w:sz w:val="24"/>
                <w:szCs w:val="24"/>
              </w:rPr>
              <w:t>Overcoming the negative agronomic traits resulted from large mutation-induced deletions may allow the development of functional soybean varieties with ultra-high stearic acid content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. </w:t>
            </w:r>
            <w:r w:rsidR="00554F51">
              <w:rPr>
                <w:rFonts w:ascii="Calibri" w:eastAsia="Times New Roman" w:hAnsi="Calibri" w:cs="Calibri"/>
                <w:sz w:val="24"/>
                <w:szCs w:val="24"/>
              </w:rPr>
              <w:t>This can</w:t>
            </w:r>
            <w:r w:rsidR="00554F51" w:rsidRPr="00554F51">
              <w:rPr>
                <w:rFonts w:ascii="Calibri" w:eastAsia="Times New Roman" w:hAnsi="Calibri" w:cs="Calibri"/>
                <w:sz w:val="24"/>
                <w:szCs w:val="24"/>
              </w:rPr>
              <w:t xml:space="preserve"> give U.S soybean farmers a competitive edge in both the food and biodiesel industry by offering soybean lines with the highest achievable oxidative stability</w:t>
            </w:r>
          </w:p>
        </w:tc>
      </w:tr>
      <w:tr w:rsidR="002852A0" w:rsidRPr="0093788C" w14:paraId="58C35F31" w14:textId="77777777" w:rsidTr="00926D85">
        <w:trPr>
          <w:cantSplit/>
          <w:trHeight w:val="438"/>
        </w:trPr>
        <w:tc>
          <w:tcPr>
            <w:tcW w:w="1791" w:type="dxa"/>
            <w:gridSpan w:val="2"/>
            <w:shd w:val="clear" w:color="auto" w:fill="auto"/>
          </w:tcPr>
          <w:p w14:paraId="0DDB46C5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Key Metrics</w:t>
            </w:r>
          </w:p>
          <w:p w14:paraId="3036998E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7" w:type="dxa"/>
            <w:gridSpan w:val="6"/>
            <w:shd w:val="clear" w:color="auto" w:fill="C5E0B3" w:themeFill="accent6" w:themeFillTint="66"/>
          </w:tcPr>
          <w:p w14:paraId="39ADB9F3" w14:textId="5A8DF2C7" w:rsidR="002852A0" w:rsidRPr="0093788C" w:rsidRDefault="00A069D7" w:rsidP="00926D8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Capacity in molecularly characterizing genotypes; Field performance and germination assays; Number of functional genotypes advanced in the pipeline.</w:t>
            </w:r>
          </w:p>
        </w:tc>
      </w:tr>
      <w:tr w:rsidR="002852A0" w:rsidRPr="0093788C" w14:paraId="0F33A308" w14:textId="77777777" w:rsidTr="00926D85">
        <w:trPr>
          <w:cantSplit/>
          <w:trHeight w:val="438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27B251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Expected Deliverables</w:t>
            </w:r>
          </w:p>
        </w:tc>
        <w:tc>
          <w:tcPr>
            <w:tcW w:w="9007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FF0AD42" w14:textId="37F590ED" w:rsidR="002852A0" w:rsidRPr="0093788C" w:rsidRDefault="0041148E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Functional germplasms that can serve as parental lines in public and private breeding programs; </w:t>
            </w:r>
            <w:r w:rsidR="00251E20">
              <w:rPr>
                <w:rFonts w:ascii="Calibri" w:eastAsia="Times New Roman" w:hAnsi="Calibri" w:cs="Calibri"/>
                <w:sz w:val="24"/>
                <w:szCs w:val="24"/>
              </w:rPr>
              <w:t xml:space="preserve">enhanced knowledge in </w:t>
            </w:r>
            <w:r w:rsidR="00466F0B">
              <w:rPr>
                <w:rFonts w:ascii="Calibri" w:eastAsia="Times New Roman" w:hAnsi="Calibri" w:cs="Calibri"/>
                <w:sz w:val="24"/>
                <w:szCs w:val="24"/>
              </w:rPr>
              <w:t>mutation</w:t>
            </w:r>
            <w:r w:rsidR="00A903FA">
              <w:rPr>
                <w:rFonts w:ascii="Calibri" w:eastAsia="Times New Roman" w:hAnsi="Calibri" w:cs="Calibri"/>
                <w:sz w:val="24"/>
                <w:szCs w:val="24"/>
              </w:rPr>
              <w:t>s</w:t>
            </w:r>
            <w:r w:rsidR="00466F0B">
              <w:rPr>
                <w:rFonts w:ascii="Calibri" w:eastAsia="Times New Roman" w:hAnsi="Calibri" w:cs="Calibri"/>
                <w:sz w:val="24"/>
                <w:szCs w:val="24"/>
              </w:rPr>
              <w:t xml:space="preserve"> and </w:t>
            </w:r>
            <w:r w:rsidR="00251E20">
              <w:rPr>
                <w:rFonts w:ascii="Calibri" w:eastAsia="Times New Roman" w:hAnsi="Calibri" w:cs="Calibri"/>
                <w:sz w:val="24"/>
                <w:szCs w:val="24"/>
              </w:rPr>
              <w:t>the dynamics of fatty acid profiles in soybean.</w:t>
            </w:r>
          </w:p>
        </w:tc>
      </w:tr>
      <w:tr w:rsidR="002852A0" w:rsidRPr="0093788C" w14:paraId="23DC86BC" w14:textId="77777777" w:rsidTr="00926D85">
        <w:trPr>
          <w:cantSplit/>
          <w:trHeight w:val="653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022C84" w14:textId="51226779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Benefit to midsouth farmers</w:t>
            </w:r>
          </w:p>
        </w:tc>
        <w:tc>
          <w:tcPr>
            <w:tcW w:w="9007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D72B027" w14:textId="73139EB9" w:rsidR="002852A0" w:rsidRPr="0093788C" w:rsidRDefault="00926D85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Give</w:t>
            </w:r>
            <w:r w:rsidRPr="00926D85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midsouth</w:t>
            </w:r>
            <w:r w:rsidRPr="00926D85">
              <w:rPr>
                <w:rFonts w:ascii="Calibri" w:eastAsia="Times New Roman" w:hAnsi="Calibri" w:cs="Calibri"/>
                <w:sz w:val="24"/>
                <w:szCs w:val="24"/>
              </w:rPr>
              <w:t xml:space="preserve"> soybean farmers a competitive edge in both the food and biodiesel industry by offering soybean lines with the highest achievable oxidative stability.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926D85">
              <w:rPr>
                <w:rFonts w:ascii="Calibri" w:eastAsia="Times New Roman" w:hAnsi="Calibri" w:cs="Calibri"/>
                <w:sz w:val="24"/>
                <w:szCs w:val="24"/>
              </w:rPr>
              <w:t>his novel fatty acid profile could result in attractive premiums attached to a high-yielding soybean line with added value for the specialty niche market.</w:t>
            </w:r>
          </w:p>
        </w:tc>
      </w:tr>
      <w:tr w:rsidR="002852A0" w:rsidRPr="0093788C" w14:paraId="631869C9" w14:textId="77777777" w:rsidTr="00926D85">
        <w:trPr>
          <w:cantSplit/>
          <w:trHeight w:val="653"/>
        </w:trPr>
        <w:tc>
          <w:tcPr>
            <w:tcW w:w="17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9C252B" w14:textId="77777777" w:rsidR="002852A0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Progress Made</w:t>
            </w:r>
          </w:p>
          <w:p w14:paraId="1F791A97" w14:textId="77777777" w:rsidR="002852A0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AFEF2B3" w14:textId="0CAE8D8D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9007" w:type="dxa"/>
            <w:gridSpan w:val="6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1B18A6E" w14:textId="1B57B285" w:rsidR="002852A0" w:rsidRPr="0093788C" w:rsidRDefault="00926D85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Genotyping of 260 mapping lines with Soy6K SNP chip; </w:t>
            </w:r>
            <w:r w:rsidR="00FE1F63">
              <w:rPr>
                <w:rFonts w:ascii="Calibri" w:eastAsia="Times New Roman" w:hAnsi="Calibri" w:cs="Calibri"/>
                <w:sz w:val="24"/>
                <w:szCs w:val="24"/>
              </w:rPr>
              <w:t>3-years of fatty acid profile data; 1-year of yield performance and germination of promising high stearic lines.</w:t>
            </w:r>
          </w:p>
        </w:tc>
      </w:tr>
      <w:tr w:rsidR="002852A0" w:rsidRPr="0093788C" w14:paraId="5731EBD5" w14:textId="77777777" w:rsidTr="00926D85">
        <w:trPr>
          <w:cantSplit/>
          <w:trHeight w:val="225"/>
        </w:trPr>
        <w:tc>
          <w:tcPr>
            <w:tcW w:w="6958" w:type="dxa"/>
            <w:gridSpan w:val="6"/>
            <w:tcBorders>
              <w:bottom w:val="nil"/>
            </w:tcBorders>
          </w:tcPr>
          <w:p w14:paraId="5E29A779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Signature of Principle Investigator</w:t>
            </w:r>
          </w:p>
        </w:tc>
        <w:tc>
          <w:tcPr>
            <w:tcW w:w="3840" w:type="dxa"/>
            <w:gridSpan w:val="2"/>
            <w:tcBorders>
              <w:bottom w:val="nil"/>
            </w:tcBorders>
          </w:tcPr>
          <w:p w14:paraId="7F0AAA3D" w14:textId="77777777" w:rsidR="002852A0" w:rsidRPr="007C031F" w:rsidRDefault="002852A0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C031F">
              <w:rPr>
                <w:rFonts w:ascii="Calibri" w:eastAsia="Times New Roman" w:hAnsi="Calibri" w:cs="Calibri"/>
                <w:sz w:val="24"/>
                <w:szCs w:val="24"/>
              </w:rPr>
              <w:t>Date:</w:t>
            </w:r>
          </w:p>
        </w:tc>
      </w:tr>
      <w:tr w:rsidR="002852A0" w:rsidRPr="0093788C" w14:paraId="31894238" w14:textId="77777777" w:rsidTr="00926D85">
        <w:trPr>
          <w:cantSplit/>
          <w:trHeight w:val="325"/>
        </w:trPr>
        <w:tc>
          <w:tcPr>
            <w:tcW w:w="6958" w:type="dxa"/>
            <w:gridSpan w:val="6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31312604" w14:textId="4ACAA867" w:rsidR="002852A0" w:rsidRPr="0093788C" w:rsidRDefault="001A4A5A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A4A5A">
              <w:rPr>
                <w:rFonts w:ascii="Calibri" w:eastAsia="Times New Roman" w:hAnsi="Calibri" w:cs="Calibri"/>
              </w:rPr>
              <w:object w:dxaOrig="2520" w:dyaOrig="792" w14:anchorId="3A11753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5pt;height:40pt" o:ole="">
                  <v:imagedata r:id="rId7" o:title=""/>
                </v:shape>
                <o:OLEObject Type="Embed" ProgID="MSPhotoEd.3" ShapeID="_x0000_i1025" DrawAspect="Content" ObjectID="_1689615889" r:id="rId8"/>
              </w:object>
            </w:r>
          </w:p>
        </w:tc>
        <w:tc>
          <w:tcPr>
            <w:tcW w:w="3840" w:type="dxa"/>
            <w:gridSpan w:val="2"/>
            <w:tcBorders>
              <w:top w:val="nil"/>
              <w:bottom w:val="single" w:sz="4" w:space="0" w:color="auto"/>
            </w:tcBorders>
            <w:shd w:val="clear" w:color="auto" w:fill="DEEAF6"/>
            <w:vAlign w:val="center"/>
          </w:tcPr>
          <w:p w14:paraId="458C46E9" w14:textId="2BBF5B57" w:rsidR="002852A0" w:rsidRPr="0093788C" w:rsidRDefault="00FE1F63" w:rsidP="00926D8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8/2/2021</w:t>
            </w:r>
          </w:p>
        </w:tc>
      </w:tr>
    </w:tbl>
    <w:p w14:paraId="110F3DBD" w14:textId="77777777" w:rsidR="0093788C" w:rsidRDefault="0093788C" w:rsidP="0093788C"/>
    <w:sectPr w:rsidR="009378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F12B" w14:textId="77777777" w:rsidR="007A21E9" w:rsidRDefault="007A21E9" w:rsidP="0093788C">
      <w:pPr>
        <w:spacing w:after="0" w:line="240" w:lineRule="auto"/>
      </w:pPr>
      <w:r>
        <w:separator/>
      </w:r>
    </w:p>
  </w:endnote>
  <w:endnote w:type="continuationSeparator" w:id="0">
    <w:p w14:paraId="269FD014" w14:textId="77777777" w:rsidR="007A21E9" w:rsidRDefault="007A21E9" w:rsidP="0093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A531" w14:textId="77777777" w:rsidR="007C031F" w:rsidRDefault="007C0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7FEB" w14:textId="77777777" w:rsidR="007C031F" w:rsidRDefault="007C0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F7DD" w14:textId="77777777" w:rsidR="007C031F" w:rsidRDefault="007C0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7087C" w14:textId="77777777" w:rsidR="007A21E9" w:rsidRDefault="007A21E9" w:rsidP="0093788C">
      <w:pPr>
        <w:spacing w:after="0" w:line="240" w:lineRule="auto"/>
      </w:pPr>
      <w:r>
        <w:separator/>
      </w:r>
    </w:p>
  </w:footnote>
  <w:footnote w:type="continuationSeparator" w:id="0">
    <w:p w14:paraId="5FEC9FFA" w14:textId="77777777" w:rsidR="007A21E9" w:rsidRDefault="007A21E9" w:rsidP="00937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6B06" w14:textId="77777777" w:rsidR="007C031F" w:rsidRDefault="007C0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40A9" w14:textId="600E7008" w:rsidR="0093788C" w:rsidRDefault="007C031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8A0DF7" wp14:editId="562BDE59">
          <wp:simplePos x="0" y="0"/>
          <wp:positionH relativeFrom="margin">
            <wp:posOffset>-171450</wp:posOffset>
          </wp:positionH>
          <wp:positionV relativeFrom="paragraph">
            <wp:posOffset>-333375</wp:posOffset>
          </wp:positionV>
          <wp:extent cx="762000" cy="762000"/>
          <wp:effectExtent l="19050" t="0" r="19050" b="247650"/>
          <wp:wrapNone/>
          <wp:docPr id="2" name="Picture 2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91440" distB="91440" distL="137160" distR="137160" simplePos="0" relativeHeight="251659264" behindDoc="0" locked="0" layoutInCell="1" allowOverlap="1" wp14:anchorId="694A4601" wp14:editId="68AD4909">
              <wp:simplePos x="0" y="0"/>
              <wp:positionH relativeFrom="margin">
                <wp:posOffset>856615</wp:posOffset>
              </wp:positionH>
              <wp:positionV relativeFrom="topMargin">
                <wp:posOffset>273685</wp:posOffset>
              </wp:positionV>
              <wp:extent cx="4905375" cy="1143000"/>
              <wp:effectExtent l="0" t="0" r="0" b="0"/>
              <wp:wrapSquare wrapText="bothSides"/>
              <wp:docPr id="140" name="Text Box 1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5375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8A6B21" w14:textId="3BA09F30" w:rsidR="0093788C" w:rsidRPr="0093788C" w:rsidRDefault="007C031F" w:rsidP="007C031F">
                          <w:pPr>
                            <w:pStyle w:val="Title"/>
                          </w:pPr>
                          <w:r>
                            <w:t>MSSB Research Summary Page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22860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4A4601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67.45pt;margin-top:21.55pt;width:386.25pt;height:90pt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" filled="f" stroked="f" strokeweight=".5pt">
              <v:textbox style="mso-fit-shape-to-text:t" inset="0,0,18pt,0">
                <w:txbxContent>
                  <w:p w14:paraId="4B8A6B21" w14:textId="3BA09F30" w:rsidR="0093788C" w:rsidRPr="0093788C" w:rsidRDefault="007C031F" w:rsidP="007C031F">
                    <w:pPr>
                      <w:pStyle w:val="Title"/>
                    </w:pPr>
                    <w:r>
                      <w:t>MSSB Research Summary Page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DBB8" w14:textId="77777777" w:rsidR="007C031F" w:rsidRDefault="007C0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xNjIwMDIxtzC1MLRU0lEKTi0uzszPAykwrAUAIZMeJiwAAAA="/>
  </w:docVars>
  <w:rsids>
    <w:rsidRoot w:val="0093788C"/>
    <w:rsid w:val="000D6C82"/>
    <w:rsid w:val="001335FC"/>
    <w:rsid w:val="0015148C"/>
    <w:rsid w:val="001A4A5A"/>
    <w:rsid w:val="00250B93"/>
    <w:rsid w:val="00251E20"/>
    <w:rsid w:val="002852A0"/>
    <w:rsid w:val="002F24AC"/>
    <w:rsid w:val="003202F0"/>
    <w:rsid w:val="00392A75"/>
    <w:rsid w:val="003C66CF"/>
    <w:rsid w:val="0041148E"/>
    <w:rsid w:val="0042177D"/>
    <w:rsid w:val="00466F0B"/>
    <w:rsid w:val="00554F51"/>
    <w:rsid w:val="005804C7"/>
    <w:rsid w:val="007A21E9"/>
    <w:rsid w:val="007C031F"/>
    <w:rsid w:val="007C1ECF"/>
    <w:rsid w:val="0092369F"/>
    <w:rsid w:val="00926D85"/>
    <w:rsid w:val="0093788C"/>
    <w:rsid w:val="00957B4C"/>
    <w:rsid w:val="009B767E"/>
    <w:rsid w:val="00A069D7"/>
    <w:rsid w:val="00A903FA"/>
    <w:rsid w:val="00C55F48"/>
    <w:rsid w:val="00D954D3"/>
    <w:rsid w:val="00FE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5DDF5"/>
  <w15:chartTrackingRefBased/>
  <w15:docId w15:val="{250FAA7C-65F3-4EEF-AF8D-17792B9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8C"/>
  </w:style>
  <w:style w:type="paragraph" w:styleId="Footer">
    <w:name w:val="footer"/>
    <w:basedOn w:val="Normal"/>
    <w:link w:val="FooterChar"/>
    <w:uiPriority w:val="99"/>
    <w:unhideWhenUsed/>
    <w:rsid w:val="00937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88C"/>
  </w:style>
  <w:style w:type="paragraph" w:styleId="NoSpacing">
    <w:name w:val="No Spacing"/>
    <w:uiPriority w:val="1"/>
    <w:qFormat/>
    <w:rsid w:val="0093788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378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335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henpe@missouri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</dc:creator>
  <cp:keywords/>
  <dc:description/>
  <cp:lastModifiedBy>Chen, Pengyin</cp:lastModifiedBy>
  <cp:revision>11</cp:revision>
  <dcterms:created xsi:type="dcterms:W3CDTF">2021-08-05T00:33:00Z</dcterms:created>
  <dcterms:modified xsi:type="dcterms:W3CDTF">2021-08-05T01:58:00Z</dcterms:modified>
</cp:coreProperties>
</file>