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92"/>
        <w:gridCol w:w="1557"/>
        <w:gridCol w:w="2429"/>
        <w:gridCol w:w="286"/>
        <w:gridCol w:w="1129"/>
        <w:gridCol w:w="1441"/>
        <w:gridCol w:w="2542"/>
      </w:tblGrid>
      <w:tr w:rsidR="0093788C" w:rsidRPr="0093788C" w14:paraId="7BAC6781" w14:textId="77777777" w:rsidTr="001313E5">
        <w:trPr>
          <w:cantSplit/>
          <w:trHeight w:val="482"/>
        </w:trPr>
        <w:tc>
          <w:tcPr>
            <w:tcW w:w="1865" w:type="dxa"/>
            <w:gridSpan w:val="2"/>
            <w:shd w:val="clear" w:color="auto" w:fill="auto"/>
            <w:vAlign w:val="center"/>
          </w:tcPr>
          <w:p w14:paraId="7AF681C4" w14:textId="77777777" w:rsidR="0093788C" w:rsidRPr="007C031F" w:rsidRDefault="0093788C" w:rsidP="009149E7">
            <w:r w:rsidRPr="007C031F">
              <w:t>Project Title</w:t>
            </w:r>
          </w:p>
        </w:tc>
        <w:tc>
          <w:tcPr>
            <w:tcW w:w="9383" w:type="dxa"/>
            <w:gridSpan w:val="6"/>
            <w:shd w:val="clear" w:color="auto" w:fill="F2F2F2" w:themeFill="background1" w:themeFillShade="F2"/>
          </w:tcPr>
          <w:p w14:paraId="0B7752B4" w14:textId="26159CDE" w:rsidR="0093788C" w:rsidRPr="0093788C" w:rsidRDefault="00B26D1E" w:rsidP="0093788C">
            <w:pPr>
              <w:spacing w:after="0" w:line="240" w:lineRule="auto"/>
              <w:rPr>
                <w:rFonts w:ascii="Calibri" w:eastAsia="Times New Roman" w:hAnsi="Calibri" w:cs="Calibri"/>
                <w:sz w:val="24"/>
                <w:szCs w:val="24"/>
              </w:rPr>
            </w:pPr>
            <w:r w:rsidRPr="00B26D1E">
              <w:rPr>
                <w:rFonts w:ascii="Calibri" w:eastAsia="Times New Roman" w:hAnsi="Calibri" w:cs="Calibri"/>
                <w:sz w:val="24"/>
                <w:szCs w:val="24"/>
              </w:rPr>
              <w:t>Development of functional ultra-high stearic acid soybean germplasms</w:t>
            </w:r>
          </w:p>
        </w:tc>
      </w:tr>
      <w:tr w:rsidR="0093788C" w:rsidRPr="0093788C" w14:paraId="359DC4E9" w14:textId="77777777" w:rsidTr="001313E5">
        <w:trPr>
          <w:cantSplit/>
          <w:trHeight w:val="249"/>
        </w:trPr>
        <w:tc>
          <w:tcPr>
            <w:tcW w:w="1865" w:type="dxa"/>
            <w:gridSpan w:val="2"/>
            <w:shd w:val="clear" w:color="auto" w:fill="auto"/>
          </w:tcPr>
          <w:p w14:paraId="200BAED6" w14:textId="77777777" w:rsidR="0093788C" w:rsidRPr="007C031F" w:rsidRDefault="0093788C" w:rsidP="0093788C">
            <w:pPr>
              <w:spacing w:after="0" w:line="240" w:lineRule="auto"/>
              <w:jc w:val="both"/>
              <w:rPr>
                <w:rFonts w:ascii="Calibri" w:eastAsia="Times New Roman" w:hAnsi="Calibri" w:cs="Calibri"/>
                <w:sz w:val="24"/>
                <w:szCs w:val="24"/>
              </w:rPr>
            </w:pPr>
            <w:bookmarkStart w:id="0" w:name="_Hlk34220383"/>
            <w:r w:rsidRPr="007C031F">
              <w:rPr>
                <w:rFonts w:ascii="Calibri" w:eastAsia="Times New Roman" w:hAnsi="Calibri" w:cs="Calibri"/>
                <w:sz w:val="24"/>
                <w:szCs w:val="24"/>
              </w:rPr>
              <w:t>PI’s Name</w:t>
            </w:r>
          </w:p>
        </w:tc>
        <w:tc>
          <w:tcPr>
            <w:tcW w:w="3986" w:type="dxa"/>
            <w:gridSpan w:val="2"/>
            <w:shd w:val="clear" w:color="auto" w:fill="F2F2F2" w:themeFill="background1" w:themeFillShade="F2"/>
          </w:tcPr>
          <w:p w14:paraId="7B3EFBAA" w14:textId="4FD68686" w:rsidR="0093788C" w:rsidRPr="0093788C" w:rsidRDefault="00B26D1E"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Grover Shannon</w:t>
            </w:r>
          </w:p>
        </w:tc>
        <w:tc>
          <w:tcPr>
            <w:tcW w:w="1414" w:type="dxa"/>
            <w:gridSpan w:val="2"/>
            <w:shd w:val="clear" w:color="auto" w:fill="F2F2F2" w:themeFill="background1" w:themeFillShade="F2"/>
          </w:tcPr>
          <w:p w14:paraId="3A49A43E" w14:textId="73F3A090"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w:t>
            </w:r>
            <w:r w:rsidRPr="009145A7">
              <w:rPr>
                <w:rFonts w:ascii="Calibri" w:eastAsia="Times New Roman" w:hAnsi="Calibri" w:cs="Calibri"/>
                <w:sz w:val="24"/>
                <w:szCs w:val="24"/>
                <w:shd w:val="clear" w:color="auto" w:fill="F2F2F2" w:themeFill="background1" w:themeFillShade="F2"/>
              </w:rPr>
              <w:t>-mail</w:t>
            </w:r>
          </w:p>
        </w:tc>
        <w:tc>
          <w:tcPr>
            <w:tcW w:w="3982" w:type="dxa"/>
            <w:gridSpan w:val="2"/>
            <w:shd w:val="clear" w:color="auto" w:fill="F2F2F2" w:themeFill="background1" w:themeFillShade="F2"/>
          </w:tcPr>
          <w:p w14:paraId="362E9F30" w14:textId="249D6DAE" w:rsidR="0093788C" w:rsidRPr="0093788C" w:rsidRDefault="007542A5" w:rsidP="0093788C">
            <w:pPr>
              <w:spacing w:after="0" w:line="240" w:lineRule="auto"/>
              <w:rPr>
                <w:rFonts w:ascii="Calibri" w:eastAsia="Times New Roman" w:hAnsi="Calibri" w:cs="Calibri"/>
                <w:sz w:val="24"/>
                <w:szCs w:val="24"/>
              </w:rPr>
            </w:pPr>
            <w:hyperlink r:id="rId9" w:history="1">
              <w:r w:rsidR="009D1A41">
                <w:rPr>
                  <w:rStyle w:val="Hyperlink"/>
                  <w:rFonts w:ascii="Calibri" w:eastAsia="Times New Roman" w:hAnsi="Calibri" w:cs="Calibri"/>
                  <w:sz w:val="24"/>
                  <w:szCs w:val="24"/>
                </w:rPr>
                <w:t>grantsdc@missouri.edu</w:t>
              </w:r>
            </w:hyperlink>
          </w:p>
        </w:tc>
      </w:tr>
      <w:tr w:rsidR="0093788C" w:rsidRPr="0093788C" w14:paraId="46FB31A5" w14:textId="77777777" w:rsidTr="001313E5">
        <w:trPr>
          <w:cantSplit/>
          <w:trHeight w:val="249"/>
        </w:trPr>
        <w:tc>
          <w:tcPr>
            <w:tcW w:w="1865" w:type="dxa"/>
            <w:gridSpan w:val="2"/>
            <w:shd w:val="clear" w:color="auto" w:fill="auto"/>
          </w:tcPr>
          <w:p w14:paraId="0097FBA2"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PI’s Title</w:t>
            </w:r>
          </w:p>
        </w:tc>
        <w:tc>
          <w:tcPr>
            <w:tcW w:w="3986" w:type="dxa"/>
            <w:gridSpan w:val="2"/>
            <w:shd w:val="clear" w:color="auto" w:fill="F2F2F2" w:themeFill="background1" w:themeFillShade="F2"/>
          </w:tcPr>
          <w:p w14:paraId="619D3949" w14:textId="52E651E0" w:rsidR="0093788C" w:rsidRPr="0093788C" w:rsidRDefault="00B26D1E"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Emeritus Professor</w:t>
            </w:r>
          </w:p>
        </w:tc>
        <w:tc>
          <w:tcPr>
            <w:tcW w:w="1414" w:type="dxa"/>
            <w:gridSpan w:val="2"/>
            <w:shd w:val="clear" w:color="auto" w:fill="F2F2F2" w:themeFill="background1" w:themeFillShade="F2"/>
          </w:tcPr>
          <w:p w14:paraId="67AB91A4"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Institution:</w:t>
            </w:r>
          </w:p>
        </w:tc>
        <w:tc>
          <w:tcPr>
            <w:tcW w:w="3982" w:type="dxa"/>
            <w:gridSpan w:val="2"/>
            <w:shd w:val="clear" w:color="auto" w:fill="F2F2F2" w:themeFill="background1" w:themeFillShade="F2"/>
          </w:tcPr>
          <w:p w14:paraId="3BFF2A01" w14:textId="293D58A3" w:rsidR="0093788C" w:rsidRPr="0093788C" w:rsidRDefault="009D1A41"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The Curators of the Univ of Missouri</w:t>
            </w:r>
          </w:p>
        </w:tc>
      </w:tr>
      <w:tr w:rsidR="0093788C" w:rsidRPr="0093788C" w14:paraId="2CC8E9CE" w14:textId="77777777" w:rsidTr="001313E5">
        <w:trPr>
          <w:cantSplit/>
          <w:trHeight w:val="249"/>
        </w:trPr>
        <w:tc>
          <w:tcPr>
            <w:tcW w:w="1865" w:type="dxa"/>
            <w:gridSpan w:val="2"/>
            <w:shd w:val="clear" w:color="auto" w:fill="auto"/>
          </w:tcPr>
          <w:p w14:paraId="2DAC5325"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Mailing Address</w:t>
            </w:r>
          </w:p>
        </w:tc>
        <w:tc>
          <w:tcPr>
            <w:tcW w:w="9383" w:type="dxa"/>
            <w:gridSpan w:val="6"/>
            <w:shd w:val="clear" w:color="auto" w:fill="F2F2F2" w:themeFill="background1" w:themeFillShade="F2"/>
          </w:tcPr>
          <w:p w14:paraId="46FE81DE" w14:textId="520FD6EE" w:rsidR="0093788C" w:rsidRPr="0093788C" w:rsidRDefault="00B26D1E"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147 State Hwy T</w:t>
            </w:r>
          </w:p>
        </w:tc>
      </w:tr>
      <w:tr w:rsidR="0093788C" w:rsidRPr="0093788C" w14:paraId="5440DD30" w14:textId="77777777" w:rsidTr="001313E5">
        <w:trPr>
          <w:cantSplit/>
          <w:trHeight w:val="249"/>
        </w:trPr>
        <w:tc>
          <w:tcPr>
            <w:tcW w:w="1865" w:type="dxa"/>
            <w:gridSpan w:val="2"/>
            <w:shd w:val="clear" w:color="auto" w:fill="auto"/>
          </w:tcPr>
          <w:p w14:paraId="32BE5A9B"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City/State/Zip </w:t>
            </w:r>
          </w:p>
        </w:tc>
        <w:tc>
          <w:tcPr>
            <w:tcW w:w="9383" w:type="dxa"/>
            <w:gridSpan w:val="6"/>
            <w:shd w:val="clear" w:color="auto" w:fill="F2F2F2" w:themeFill="background1" w:themeFillShade="F2"/>
          </w:tcPr>
          <w:p w14:paraId="4BA6ACD2" w14:textId="7851566B" w:rsidR="0093788C" w:rsidRPr="0093788C" w:rsidRDefault="00B26D1E"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Portageville MO, 63873</w:t>
            </w:r>
          </w:p>
        </w:tc>
      </w:tr>
      <w:tr w:rsidR="0093788C" w:rsidRPr="0093788C" w14:paraId="24990301" w14:textId="77777777" w:rsidTr="001313E5">
        <w:trPr>
          <w:cantSplit/>
          <w:trHeight w:val="267"/>
        </w:trPr>
        <w:tc>
          <w:tcPr>
            <w:tcW w:w="1865" w:type="dxa"/>
            <w:gridSpan w:val="2"/>
            <w:shd w:val="clear" w:color="auto" w:fill="auto"/>
          </w:tcPr>
          <w:p w14:paraId="57725FA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Phone number</w:t>
            </w:r>
          </w:p>
        </w:tc>
        <w:tc>
          <w:tcPr>
            <w:tcW w:w="9383" w:type="dxa"/>
            <w:gridSpan w:val="6"/>
            <w:shd w:val="clear" w:color="auto" w:fill="F2F2F2" w:themeFill="background1" w:themeFillShade="F2"/>
          </w:tcPr>
          <w:p w14:paraId="59CCE5CE" w14:textId="720C5E24" w:rsidR="0093788C" w:rsidRPr="0093788C" w:rsidRDefault="00E620A6"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573-</w:t>
            </w:r>
            <w:r w:rsidR="00F63B2F">
              <w:rPr>
                <w:rFonts w:ascii="Calibri" w:eastAsia="Times New Roman" w:hAnsi="Calibri" w:cs="Calibri"/>
                <w:sz w:val="24"/>
                <w:szCs w:val="24"/>
              </w:rPr>
              <w:t>379-</w:t>
            </w:r>
            <w:r w:rsidR="007720FB">
              <w:rPr>
                <w:rFonts w:ascii="Calibri" w:eastAsia="Times New Roman" w:hAnsi="Calibri" w:cs="Calibri"/>
                <w:sz w:val="24"/>
                <w:szCs w:val="24"/>
              </w:rPr>
              <w:t>5431</w:t>
            </w:r>
          </w:p>
        </w:tc>
      </w:tr>
      <w:tr w:rsidR="0093788C" w:rsidRPr="0093788C" w14:paraId="0BAC0AA9" w14:textId="77777777" w:rsidTr="001313E5">
        <w:trPr>
          <w:cantSplit/>
          <w:trHeight w:val="553"/>
        </w:trPr>
        <w:tc>
          <w:tcPr>
            <w:tcW w:w="1865" w:type="dxa"/>
            <w:gridSpan w:val="2"/>
            <w:shd w:val="clear" w:color="auto" w:fill="auto"/>
          </w:tcPr>
          <w:p w14:paraId="1D14F7CF"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Additional PIs</w:t>
            </w:r>
          </w:p>
          <w:p w14:paraId="48738DC0"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For this project</w:t>
            </w:r>
          </w:p>
        </w:tc>
        <w:tc>
          <w:tcPr>
            <w:tcW w:w="9383" w:type="dxa"/>
            <w:gridSpan w:val="6"/>
            <w:shd w:val="clear" w:color="auto" w:fill="F2F2F2" w:themeFill="background1" w:themeFillShade="F2"/>
          </w:tcPr>
          <w:p w14:paraId="1411D884" w14:textId="1EB46A87" w:rsidR="0093788C" w:rsidRPr="0093788C" w:rsidRDefault="0037646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Caio Canella Vieira, MU-FDREEC</w:t>
            </w:r>
          </w:p>
        </w:tc>
      </w:tr>
      <w:tr w:rsidR="0093788C" w:rsidRPr="0093788C" w14:paraId="30CA0B9B" w14:textId="77777777" w:rsidTr="001313E5">
        <w:trPr>
          <w:cantSplit/>
          <w:trHeight w:val="61"/>
        </w:trPr>
        <w:tc>
          <w:tcPr>
            <w:tcW w:w="1865" w:type="dxa"/>
            <w:gridSpan w:val="2"/>
            <w:shd w:val="clear" w:color="auto" w:fill="auto"/>
          </w:tcPr>
          <w:p w14:paraId="6A2B7C3D" w14:textId="77777777" w:rsidR="00205664"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Research Locations     </w:t>
            </w:r>
          </w:p>
          <w:p w14:paraId="6221AC8A" w14:textId="60063BA8"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18"/>
                <w:szCs w:val="18"/>
              </w:rPr>
              <w:t>(</w:t>
            </w:r>
            <w:proofErr w:type="gramStart"/>
            <w:r w:rsidRPr="007C031F">
              <w:rPr>
                <w:rFonts w:ascii="Calibri" w:eastAsia="Times New Roman" w:hAnsi="Calibri" w:cs="Calibri"/>
                <w:sz w:val="18"/>
                <w:szCs w:val="18"/>
              </w:rPr>
              <w:t>and</w:t>
            </w:r>
            <w:proofErr w:type="gramEnd"/>
            <w:r w:rsidRPr="007C031F">
              <w:rPr>
                <w:rFonts w:ascii="Calibri" w:eastAsia="Times New Roman" w:hAnsi="Calibri" w:cs="Calibri"/>
                <w:sz w:val="18"/>
                <w:szCs w:val="18"/>
              </w:rPr>
              <w:t xml:space="preserve"> states involved)</w:t>
            </w:r>
          </w:p>
        </w:tc>
        <w:tc>
          <w:tcPr>
            <w:tcW w:w="9383" w:type="dxa"/>
            <w:gridSpan w:val="6"/>
            <w:shd w:val="clear" w:color="auto" w:fill="F2F2F2" w:themeFill="background1" w:themeFillShade="F2"/>
          </w:tcPr>
          <w:p w14:paraId="40E51E59" w14:textId="2C6E3528" w:rsidR="0093788C" w:rsidRPr="0093788C" w:rsidRDefault="0037646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Portageville, MO</w:t>
            </w:r>
          </w:p>
        </w:tc>
      </w:tr>
      <w:bookmarkEnd w:id="0"/>
      <w:tr w:rsidR="0093788C" w:rsidRPr="0093788C" w14:paraId="19257D98" w14:textId="77777777" w:rsidTr="001313E5">
        <w:trPr>
          <w:cantSplit/>
          <w:trHeight w:val="321"/>
        </w:trPr>
        <w:tc>
          <w:tcPr>
            <w:tcW w:w="3422" w:type="dxa"/>
            <w:gridSpan w:val="3"/>
            <w:vMerge w:val="restart"/>
            <w:tcBorders>
              <w:right w:val="single" w:sz="12" w:space="0" w:color="auto"/>
            </w:tcBorders>
            <w:shd w:val="clear" w:color="auto" w:fill="F2F2F2" w:themeFill="background1" w:themeFillShade="F2"/>
            <w:vAlign w:val="center"/>
          </w:tcPr>
          <w:p w14:paraId="522C19E4" w14:textId="77777777"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 xml:space="preserve">Timeline: </w:t>
            </w:r>
          </w:p>
          <w:p w14:paraId="00EA1ED7" w14:textId="3852147F"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Current Year - FY2</w:t>
            </w:r>
            <w:r w:rsidR="009145A7">
              <w:rPr>
                <w:rFonts w:ascii="Calibri" w:eastAsia="Times New Roman" w:hAnsi="Calibri" w:cs="Calibri"/>
                <w:b/>
                <w:bCs/>
              </w:rPr>
              <w:t>3</w:t>
            </w:r>
          </w:p>
        </w:tc>
        <w:tc>
          <w:tcPr>
            <w:tcW w:w="7826" w:type="dxa"/>
            <w:gridSpan w:val="5"/>
            <w:tcBorders>
              <w:left w:val="single" w:sz="12" w:space="0" w:color="auto"/>
            </w:tcBorders>
            <w:shd w:val="clear" w:color="auto" w:fill="F2F2F2" w:themeFill="background1" w:themeFillShade="F2"/>
            <w:vAlign w:val="center"/>
          </w:tcPr>
          <w:p w14:paraId="30ADDDDF" w14:textId="77777777" w:rsidR="0093788C" w:rsidRPr="0093788C" w:rsidRDefault="0093788C" w:rsidP="0093788C">
            <w:pPr>
              <w:spacing w:after="0" w:line="240" w:lineRule="auto"/>
              <w:jc w:val="center"/>
              <w:rPr>
                <w:rFonts w:ascii="Calibri" w:eastAsia="Times New Roman" w:hAnsi="Calibri" w:cs="Calibri"/>
                <w:b/>
                <w:bCs/>
              </w:rPr>
            </w:pPr>
            <w:r w:rsidRPr="0093788C">
              <w:rPr>
                <w:rFonts w:ascii="Calibri" w:eastAsia="Times New Roman" w:hAnsi="Calibri" w:cs="Calibri"/>
                <w:b/>
                <w:bCs/>
              </w:rPr>
              <w:t xml:space="preserve">Multi-Year Project Information </w:t>
            </w:r>
            <w:r w:rsidRPr="0093788C">
              <w:rPr>
                <w:rFonts w:ascii="Calibri" w:eastAsia="Times New Roman" w:hAnsi="Calibri" w:cs="Calibri"/>
                <w:color w:val="808080"/>
                <w:sz w:val="20"/>
                <w:szCs w:val="20"/>
              </w:rPr>
              <w:t>(if applicable)</w:t>
            </w:r>
          </w:p>
        </w:tc>
      </w:tr>
      <w:tr w:rsidR="001313E5" w:rsidRPr="0093788C" w14:paraId="61179752" w14:textId="77777777" w:rsidTr="001313E5">
        <w:trPr>
          <w:cantSplit/>
          <w:trHeight w:val="269"/>
        </w:trPr>
        <w:tc>
          <w:tcPr>
            <w:tcW w:w="3422" w:type="dxa"/>
            <w:gridSpan w:val="3"/>
            <w:vMerge/>
            <w:tcBorders>
              <w:right w:val="single" w:sz="12" w:space="0" w:color="auto"/>
            </w:tcBorders>
            <w:shd w:val="clear" w:color="auto" w:fill="F2F2F2" w:themeFill="background1" w:themeFillShade="F2"/>
            <w:vAlign w:val="center"/>
          </w:tcPr>
          <w:p w14:paraId="4E4FFD6F" w14:textId="77777777" w:rsidR="0093788C" w:rsidRPr="0093788C" w:rsidRDefault="0093788C" w:rsidP="0093788C">
            <w:pPr>
              <w:spacing w:after="0" w:line="240" w:lineRule="auto"/>
              <w:rPr>
                <w:rFonts w:ascii="Calibri" w:eastAsia="Times New Roman" w:hAnsi="Calibri" w:cs="Calibri"/>
              </w:rPr>
            </w:pPr>
          </w:p>
        </w:tc>
        <w:tc>
          <w:tcPr>
            <w:tcW w:w="2715" w:type="dxa"/>
            <w:gridSpan w:val="2"/>
            <w:tcBorders>
              <w:left w:val="single" w:sz="12" w:space="0" w:color="auto"/>
            </w:tcBorders>
            <w:shd w:val="clear" w:color="auto" w:fill="F2F2F2" w:themeFill="background1" w:themeFillShade="F2"/>
            <w:vAlign w:val="center"/>
          </w:tcPr>
          <w:p w14:paraId="6DBA58E9"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1</w:t>
            </w:r>
          </w:p>
        </w:tc>
        <w:tc>
          <w:tcPr>
            <w:tcW w:w="2570" w:type="dxa"/>
            <w:gridSpan w:val="2"/>
            <w:shd w:val="clear" w:color="auto" w:fill="F2F2F2" w:themeFill="background1" w:themeFillShade="F2"/>
            <w:vAlign w:val="center"/>
          </w:tcPr>
          <w:p w14:paraId="20F1D30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2</w:t>
            </w:r>
          </w:p>
        </w:tc>
        <w:tc>
          <w:tcPr>
            <w:tcW w:w="2540" w:type="dxa"/>
            <w:shd w:val="clear" w:color="auto" w:fill="F2F2F2" w:themeFill="background1" w:themeFillShade="F2"/>
            <w:vAlign w:val="center"/>
          </w:tcPr>
          <w:p w14:paraId="7839EBC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3</w:t>
            </w:r>
          </w:p>
        </w:tc>
      </w:tr>
      <w:tr w:rsidR="00E87B58" w:rsidRPr="0093788C" w14:paraId="5FF85173" w14:textId="77777777" w:rsidTr="001313E5">
        <w:trPr>
          <w:cantSplit/>
          <w:trHeight w:val="269"/>
        </w:trPr>
        <w:tc>
          <w:tcPr>
            <w:tcW w:w="1773" w:type="dxa"/>
            <w:shd w:val="clear" w:color="auto" w:fill="auto"/>
            <w:vAlign w:val="center"/>
          </w:tcPr>
          <w:p w14:paraId="61151734"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Start Date</w:t>
            </w:r>
          </w:p>
        </w:tc>
        <w:tc>
          <w:tcPr>
            <w:tcW w:w="1648" w:type="dxa"/>
            <w:gridSpan w:val="2"/>
            <w:tcBorders>
              <w:right w:val="single" w:sz="12" w:space="0" w:color="auto"/>
            </w:tcBorders>
            <w:shd w:val="clear" w:color="auto" w:fill="F2F2F2" w:themeFill="background1" w:themeFillShade="F2"/>
            <w:vAlign w:val="center"/>
          </w:tcPr>
          <w:p w14:paraId="01280DBF" w14:textId="71D3BE21" w:rsidR="009D1A41" w:rsidRPr="0093788C" w:rsidRDefault="009D1A41" w:rsidP="009D1A41">
            <w:pPr>
              <w:spacing w:after="0" w:line="240" w:lineRule="auto"/>
              <w:rPr>
                <w:rFonts w:ascii="Calibri" w:eastAsia="Times New Roman" w:hAnsi="Calibri" w:cs="Calibri"/>
              </w:rPr>
            </w:pPr>
          </w:p>
        </w:tc>
        <w:tc>
          <w:tcPr>
            <w:tcW w:w="2715" w:type="dxa"/>
            <w:gridSpan w:val="2"/>
            <w:tcBorders>
              <w:left w:val="single" w:sz="12" w:space="0" w:color="auto"/>
            </w:tcBorders>
            <w:shd w:val="clear" w:color="auto" w:fill="F2F2F2" w:themeFill="background1" w:themeFillShade="F2"/>
            <w:vAlign w:val="center"/>
          </w:tcPr>
          <w:p w14:paraId="78A4026B" w14:textId="2D86B998" w:rsidR="0093788C" w:rsidRPr="0093788C" w:rsidRDefault="009D1A41" w:rsidP="0093788C">
            <w:pPr>
              <w:spacing w:after="0" w:line="240" w:lineRule="auto"/>
              <w:jc w:val="right"/>
              <w:rPr>
                <w:rFonts w:ascii="Calibri" w:eastAsia="Times New Roman" w:hAnsi="Calibri" w:cs="Calibri"/>
                <w:b/>
                <w:bCs/>
              </w:rPr>
            </w:pPr>
            <w:r>
              <w:rPr>
                <w:rFonts w:ascii="Calibri" w:eastAsia="Times New Roman" w:hAnsi="Calibri" w:cs="Calibri"/>
                <w:b/>
                <w:bCs/>
              </w:rPr>
              <w:t>April 1, 2023</w:t>
            </w:r>
          </w:p>
        </w:tc>
        <w:tc>
          <w:tcPr>
            <w:tcW w:w="2570" w:type="dxa"/>
            <w:gridSpan w:val="2"/>
            <w:shd w:val="clear" w:color="auto" w:fill="F2F2F2" w:themeFill="background1" w:themeFillShade="F2"/>
            <w:vAlign w:val="center"/>
          </w:tcPr>
          <w:p w14:paraId="46FDBF41" w14:textId="77777777" w:rsidR="0093788C" w:rsidRPr="0093788C" w:rsidRDefault="0093788C" w:rsidP="0093788C">
            <w:pPr>
              <w:spacing w:after="0" w:line="240" w:lineRule="auto"/>
              <w:jc w:val="right"/>
              <w:rPr>
                <w:rFonts w:ascii="Calibri" w:eastAsia="Times New Roman" w:hAnsi="Calibri" w:cs="Calibri"/>
                <w:b/>
                <w:bCs/>
              </w:rPr>
            </w:pPr>
          </w:p>
        </w:tc>
        <w:tc>
          <w:tcPr>
            <w:tcW w:w="2540" w:type="dxa"/>
            <w:shd w:val="clear" w:color="auto" w:fill="F2F2F2" w:themeFill="background1" w:themeFillShade="F2"/>
            <w:vAlign w:val="center"/>
          </w:tcPr>
          <w:p w14:paraId="0F9EF3B6" w14:textId="77777777" w:rsidR="0093788C" w:rsidRPr="0093788C" w:rsidRDefault="0093788C" w:rsidP="0093788C">
            <w:pPr>
              <w:spacing w:after="0" w:line="240" w:lineRule="auto"/>
              <w:jc w:val="right"/>
              <w:rPr>
                <w:rFonts w:ascii="Calibri" w:eastAsia="Times New Roman" w:hAnsi="Calibri" w:cs="Calibri"/>
                <w:b/>
                <w:bCs/>
              </w:rPr>
            </w:pPr>
          </w:p>
        </w:tc>
      </w:tr>
      <w:tr w:rsidR="00E87B58" w:rsidRPr="0093788C" w14:paraId="1BC1B9D8" w14:textId="77777777" w:rsidTr="001313E5">
        <w:trPr>
          <w:cantSplit/>
          <w:trHeight w:val="269"/>
        </w:trPr>
        <w:tc>
          <w:tcPr>
            <w:tcW w:w="1773" w:type="dxa"/>
            <w:shd w:val="clear" w:color="auto" w:fill="auto"/>
            <w:vAlign w:val="center"/>
          </w:tcPr>
          <w:p w14:paraId="54599BCB"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End Date</w:t>
            </w:r>
          </w:p>
        </w:tc>
        <w:tc>
          <w:tcPr>
            <w:tcW w:w="1648" w:type="dxa"/>
            <w:gridSpan w:val="2"/>
            <w:tcBorders>
              <w:right w:val="single" w:sz="12" w:space="0" w:color="auto"/>
            </w:tcBorders>
            <w:shd w:val="clear" w:color="auto" w:fill="F2F2F2" w:themeFill="background1" w:themeFillShade="F2"/>
            <w:vAlign w:val="center"/>
          </w:tcPr>
          <w:p w14:paraId="0CBA8D9F" w14:textId="393B34BA" w:rsidR="0093788C" w:rsidRPr="0093788C" w:rsidRDefault="0093788C" w:rsidP="0093788C">
            <w:pPr>
              <w:spacing w:after="0" w:line="240" w:lineRule="auto"/>
              <w:jc w:val="right"/>
              <w:rPr>
                <w:rFonts w:ascii="Calibri" w:eastAsia="Times New Roman" w:hAnsi="Calibri" w:cs="Calibri"/>
              </w:rPr>
            </w:pPr>
          </w:p>
        </w:tc>
        <w:tc>
          <w:tcPr>
            <w:tcW w:w="2715" w:type="dxa"/>
            <w:gridSpan w:val="2"/>
            <w:tcBorders>
              <w:left w:val="single" w:sz="12" w:space="0" w:color="auto"/>
            </w:tcBorders>
            <w:shd w:val="clear" w:color="auto" w:fill="F2F2F2" w:themeFill="background1" w:themeFillShade="F2"/>
            <w:vAlign w:val="center"/>
          </w:tcPr>
          <w:p w14:paraId="6BD7BC30" w14:textId="16A31402" w:rsidR="0093788C" w:rsidRPr="0093788C" w:rsidRDefault="009D1A41" w:rsidP="0093788C">
            <w:pPr>
              <w:spacing w:after="0" w:line="240" w:lineRule="auto"/>
              <w:jc w:val="right"/>
              <w:rPr>
                <w:rFonts w:ascii="Calibri" w:eastAsia="Times New Roman" w:hAnsi="Calibri" w:cs="Calibri"/>
                <w:b/>
                <w:bCs/>
              </w:rPr>
            </w:pPr>
            <w:r>
              <w:rPr>
                <w:rFonts w:ascii="Calibri" w:eastAsia="Times New Roman" w:hAnsi="Calibri" w:cs="Calibri"/>
                <w:b/>
                <w:bCs/>
              </w:rPr>
              <w:t>March 31, 2024</w:t>
            </w:r>
          </w:p>
        </w:tc>
        <w:tc>
          <w:tcPr>
            <w:tcW w:w="2570" w:type="dxa"/>
            <w:gridSpan w:val="2"/>
            <w:shd w:val="clear" w:color="auto" w:fill="F2F2F2" w:themeFill="background1" w:themeFillShade="F2"/>
            <w:vAlign w:val="center"/>
          </w:tcPr>
          <w:p w14:paraId="4E5B7CD1" w14:textId="77777777" w:rsidR="0093788C" w:rsidRPr="0093788C" w:rsidRDefault="0093788C" w:rsidP="0093788C">
            <w:pPr>
              <w:spacing w:after="0" w:line="240" w:lineRule="auto"/>
              <w:jc w:val="right"/>
              <w:rPr>
                <w:rFonts w:ascii="Calibri" w:eastAsia="Times New Roman" w:hAnsi="Calibri" w:cs="Calibri"/>
                <w:b/>
                <w:bCs/>
              </w:rPr>
            </w:pPr>
          </w:p>
        </w:tc>
        <w:tc>
          <w:tcPr>
            <w:tcW w:w="2540" w:type="dxa"/>
            <w:shd w:val="clear" w:color="auto" w:fill="F2F2F2" w:themeFill="background1" w:themeFillShade="F2"/>
            <w:vAlign w:val="center"/>
          </w:tcPr>
          <w:p w14:paraId="26D02FAD" w14:textId="77777777" w:rsidR="0093788C" w:rsidRPr="0093788C" w:rsidRDefault="0093788C" w:rsidP="0093788C">
            <w:pPr>
              <w:spacing w:after="0" w:line="240" w:lineRule="auto"/>
              <w:jc w:val="right"/>
              <w:rPr>
                <w:rFonts w:ascii="Calibri" w:eastAsia="Times New Roman" w:hAnsi="Calibri" w:cs="Calibri"/>
                <w:b/>
                <w:bCs/>
              </w:rPr>
            </w:pPr>
          </w:p>
        </w:tc>
      </w:tr>
      <w:tr w:rsidR="00E87B58" w:rsidRPr="0093788C" w14:paraId="659D48C9" w14:textId="77777777" w:rsidTr="001313E5">
        <w:trPr>
          <w:cantSplit/>
          <w:trHeight w:val="269"/>
        </w:trPr>
        <w:tc>
          <w:tcPr>
            <w:tcW w:w="1773" w:type="dxa"/>
            <w:shd w:val="clear" w:color="auto" w:fill="auto"/>
            <w:vAlign w:val="center"/>
          </w:tcPr>
          <w:p w14:paraId="72035D92"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Funds Requested</w:t>
            </w:r>
          </w:p>
        </w:tc>
        <w:tc>
          <w:tcPr>
            <w:tcW w:w="1648" w:type="dxa"/>
            <w:gridSpan w:val="2"/>
            <w:tcBorders>
              <w:right w:val="single" w:sz="12" w:space="0" w:color="auto"/>
            </w:tcBorders>
            <w:shd w:val="clear" w:color="auto" w:fill="F2F2F2" w:themeFill="background1" w:themeFillShade="F2"/>
            <w:vAlign w:val="center"/>
          </w:tcPr>
          <w:p w14:paraId="06299C89" w14:textId="2F6286A2" w:rsidR="0093788C" w:rsidRPr="0093788C" w:rsidRDefault="0093788C" w:rsidP="0093788C">
            <w:pPr>
              <w:spacing w:after="0" w:line="240" w:lineRule="auto"/>
              <w:rPr>
                <w:rFonts w:ascii="Calibri" w:eastAsia="Times New Roman" w:hAnsi="Calibri" w:cs="Calibri"/>
              </w:rPr>
            </w:pPr>
          </w:p>
        </w:tc>
        <w:tc>
          <w:tcPr>
            <w:tcW w:w="2715" w:type="dxa"/>
            <w:gridSpan w:val="2"/>
            <w:tcBorders>
              <w:left w:val="single" w:sz="12" w:space="0" w:color="auto"/>
            </w:tcBorders>
            <w:shd w:val="clear" w:color="auto" w:fill="F2F2F2" w:themeFill="background1" w:themeFillShade="F2"/>
            <w:vAlign w:val="center"/>
          </w:tcPr>
          <w:p w14:paraId="0566D5DE" w14:textId="56116AC2"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r w:rsidR="009D1A41">
              <w:rPr>
                <w:rFonts w:ascii="Calibri" w:eastAsia="Times New Roman" w:hAnsi="Calibri" w:cs="Calibri"/>
              </w:rPr>
              <w:t>25,000</w:t>
            </w:r>
          </w:p>
        </w:tc>
        <w:tc>
          <w:tcPr>
            <w:tcW w:w="2570" w:type="dxa"/>
            <w:gridSpan w:val="2"/>
            <w:shd w:val="clear" w:color="auto" w:fill="F2F2F2" w:themeFill="background1" w:themeFillShade="F2"/>
            <w:vAlign w:val="center"/>
          </w:tcPr>
          <w:p w14:paraId="55274B90" w14:textId="77777777"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p>
        </w:tc>
        <w:tc>
          <w:tcPr>
            <w:tcW w:w="2540" w:type="dxa"/>
            <w:shd w:val="clear" w:color="auto" w:fill="F2F2F2" w:themeFill="background1" w:themeFillShade="F2"/>
            <w:vAlign w:val="center"/>
          </w:tcPr>
          <w:p w14:paraId="5F8AA9B4" w14:textId="77777777"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p>
        </w:tc>
      </w:tr>
      <w:tr w:rsidR="0093788C" w:rsidRPr="0093788C" w14:paraId="7E97AC08" w14:textId="77777777" w:rsidTr="001313E5">
        <w:trPr>
          <w:cantSplit/>
          <w:trHeight w:val="385"/>
        </w:trPr>
        <w:tc>
          <w:tcPr>
            <w:tcW w:w="11249" w:type="dxa"/>
            <w:gridSpan w:val="8"/>
            <w:shd w:val="clear" w:color="auto" w:fill="F2F2F2" w:themeFill="background1" w:themeFillShade="F2"/>
            <w:vAlign w:val="center"/>
          </w:tcPr>
          <w:p w14:paraId="5DFE4486" w14:textId="7A856DAD" w:rsidR="0093788C" w:rsidRPr="0093788C" w:rsidRDefault="0093788C" w:rsidP="0093788C">
            <w:pPr>
              <w:spacing w:after="0" w:line="240" w:lineRule="auto"/>
              <w:rPr>
                <w:rFonts w:ascii="Calibri" w:eastAsia="Times New Roman" w:hAnsi="Calibri" w:cs="Calibri"/>
                <w:b/>
                <w:bCs/>
                <w:sz w:val="24"/>
                <w:szCs w:val="24"/>
              </w:rPr>
            </w:pPr>
            <w:r w:rsidRPr="0093788C">
              <w:rPr>
                <w:rFonts w:ascii="Calibri" w:eastAsia="Times New Roman" w:hAnsi="Calibri" w:cs="Calibri"/>
                <w:b/>
                <w:bCs/>
                <w:sz w:val="24"/>
                <w:szCs w:val="24"/>
              </w:rPr>
              <w:t xml:space="preserve">Program Area </w:t>
            </w:r>
            <w:r w:rsidRPr="0093788C">
              <w:rPr>
                <w:rFonts w:ascii="Calibri" w:eastAsia="Times New Roman" w:hAnsi="Calibri" w:cs="Calibri"/>
                <w:b/>
                <w:bCs/>
                <w:color w:val="808080"/>
                <w:sz w:val="24"/>
                <w:szCs w:val="24"/>
              </w:rPr>
              <w:t xml:space="preserve">(e.g., breeding, </w:t>
            </w:r>
            <w:proofErr w:type="spellStart"/>
            <w:r w:rsidRPr="0093788C">
              <w:rPr>
                <w:rFonts w:ascii="Calibri" w:eastAsia="Times New Roman" w:hAnsi="Calibri" w:cs="Calibri"/>
                <w:b/>
                <w:bCs/>
                <w:color w:val="808080"/>
                <w:sz w:val="24"/>
                <w:szCs w:val="24"/>
              </w:rPr>
              <w:t>mngt</w:t>
            </w:r>
            <w:proofErr w:type="spellEnd"/>
            <w:r>
              <w:rPr>
                <w:rFonts w:ascii="Calibri" w:eastAsia="Times New Roman" w:hAnsi="Calibri" w:cs="Calibri"/>
                <w:b/>
                <w:bCs/>
                <w:color w:val="808080"/>
                <w:sz w:val="24"/>
                <w:szCs w:val="24"/>
              </w:rPr>
              <w:t>.</w:t>
            </w:r>
            <w:r w:rsidRPr="0093788C">
              <w:rPr>
                <w:rFonts w:ascii="Calibri" w:eastAsia="Times New Roman" w:hAnsi="Calibri" w:cs="Calibri"/>
                <w:b/>
                <w:bCs/>
                <w:color w:val="808080"/>
                <w:sz w:val="24"/>
                <w:szCs w:val="24"/>
              </w:rPr>
              <w:t>)</w:t>
            </w:r>
            <w:r w:rsidRPr="0093788C">
              <w:rPr>
                <w:rFonts w:ascii="Calibri" w:eastAsia="Times New Roman" w:hAnsi="Calibri" w:cs="Calibri"/>
                <w:b/>
                <w:bCs/>
                <w:sz w:val="24"/>
                <w:szCs w:val="24"/>
              </w:rPr>
              <w:t>:</w:t>
            </w:r>
          </w:p>
        </w:tc>
      </w:tr>
      <w:tr w:rsidR="0093788C" w:rsidRPr="0093788C" w14:paraId="14849775" w14:textId="77777777" w:rsidTr="001313E5">
        <w:trPr>
          <w:cantSplit/>
          <w:trHeight w:val="767"/>
        </w:trPr>
        <w:tc>
          <w:tcPr>
            <w:tcW w:w="1865" w:type="dxa"/>
            <w:gridSpan w:val="2"/>
            <w:shd w:val="clear" w:color="auto" w:fill="auto"/>
          </w:tcPr>
          <w:p w14:paraId="1898F9D3" w14:textId="75875CBB" w:rsidR="0093788C" w:rsidRPr="007C031F" w:rsidRDefault="0093788C" w:rsidP="005314CF">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Objectives</w:t>
            </w:r>
          </w:p>
        </w:tc>
        <w:tc>
          <w:tcPr>
            <w:tcW w:w="9383" w:type="dxa"/>
            <w:gridSpan w:val="6"/>
            <w:shd w:val="clear" w:color="auto" w:fill="F2F2F2" w:themeFill="background1" w:themeFillShade="F2"/>
          </w:tcPr>
          <w:p w14:paraId="3FB4C209" w14:textId="679EA2EB" w:rsidR="0093788C" w:rsidRPr="0093788C" w:rsidRDefault="005314CF" w:rsidP="0093788C">
            <w:pPr>
              <w:spacing w:after="0" w:line="240" w:lineRule="auto"/>
              <w:rPr>
                <w:rFonts w:ascii="Calibri" w:eastAsia="Times New Roman" w:hAnsi="Calibri" w:cs="Calibri"/>
                <w:sz w:val="24"/>
                <w:szCs w:val="24"/>
              </w:rPr>
            </w:pPr>
            <w:r w:rsidRPr="005314CF">
              <w:rPr>
                <w:rFonts w:ascii="Calibri" w:eastAsia="Times New Roman" w:hAnsi="Calibri" w:cs="Calibri"/>
                <w:sz w:val="24"/>
                <w:szCs w:val="24"/>
              </w:rPr>
              <w:t>Develop soybean germplasms adapted to the mid-southern U.S with functional ultra-high stearic acid content and little or no detrimental effects on agronomic traits</w:t>
            </w:r>
            <w:r>
              <w:rPr>
                <w:rFonts w:ascii="Calibri" w:eastAsia="Times New Roman" w:hAnsi="Calibri" w:cs="Calibri"/>
                <w:sz w:val="24"/>
                <w:szCs w:val="24"/>
              </w:rPr>
              <w:t>.</w:t>
            </w:r>
          </w:p>
        </w:tc>
      </w:tr>
      <w:tr w:rsidR="0093788C" w:rsidRPr="0093788C" w14:paraId="54E73FF7" w14:textId="77777777" w:rsidTr="001313E5">
        <w:trPr>
          <w:cantSplit/>
          <w:trHeight w:val="767"/>
        </w:trPr>
        <w:tc>
          <w:tcPr>
            <w:tcW w:w="1865" w:type="dxa"/>
            <w:gridSpan w:val="2"/>
            <w:shd w:val="clear" w:color="auto" w:fill="auto"/>
          </w:tcPr>
          <w:p w14:paraId="1C349976" w14:textId="6045793D"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Justification</w:t>
            </w:r>
          </w:p>
          <w:p w14:paraId="28EFF28D" w14:textId="77777777" w:rsidR="0093788C" w:rsidRPr="007C031F" w:rsidRDefault="0093788C" w:rsidP="0093788C">
            <w:pPr>
              <w:spacing w:after="0" w:line="240" w:lineRule="auto"/>
              <w:rPr>
                <w:rFonts w:ascii="Calibri" w:eastAsia="Times New Roman" w:hAnsi="Calibri" w:cs="Calibri"/>
                <w:sz w:val="24"/>
                <w:szCs w:val="24"/>
              </w:rPr>
            </w:pPr>
          </w:p>
        </w:tc>
        <w:tc>
          <w:tcPr>
            <w:tcW w:w="9383" w:type="dxa"/>
            <w:gridSpan w:val="6"/>
            <w:shd w:val="clear" w:color="auto" w:fill="F2F2F2" w:themeFill="background1" w:themeFillShade="F2"/>
          </w:tcPr>
          <w:p w14:paraId="1838C4EC" w14:textId="79E43D74" w:rsidR="0093788C" w:rsidRPr="0093788C" w:rsidRDefault="00966AAE" w:rsidP="0093788C">
            <w:pPr>
              <w:spacing w:after="0" w:line="240" w:lineRule="auto"/>
              <w:rPr>
                <w:rFonts w:ascii="Calibri" w:eastAsia="Times New Roman" w:hAnsi="Calibri" w:cs="Calibri"/>
                <w:sz w:val="24"/>
                <w:szCs w:val="24"/>
              </w:rPr>
            </w:pPr>
            <w:r w:rsidRPr="00966AAE">
              <w:rPr>
                <w:rFonts w:ascii="Calibri" w:eastAsia="Times New Roman" w:hAnsi="Calibri" w:cs="Calibri"/>
                <w:sz w:val="24"/>
                <w:szCs w:val="24"/>
              </w:rPr>
              <w:t>The industry’s standards for maximum oxidative stability consist of elevated concentrations of stearic and oleic acids and a reduction of the concentration of linolenic acid.</w:t>
            </w:r>
          </w:p>
        </w:tc>
      </w:tr>
      <w:tr w:rsidR="0093788C" w:rsidRPr="0093788C" w14:paraId="7FC1A5F3" w14:textId="77777777" w:rsidTr="001313E5">
        <w:trPr>
          <w:cantSplit/>
          <w:trHeight w:val="517"/>
        </w:trPr>
        <w:tc>
          <w:tcPr>
            <w:tcW w:w="1865" w:type="dxa"/>
            <w:gridSpan w:val="2"/>
            <w:shd w:val="clear" w:color="auto" w:fill="auto"/>
          </w:tcPr>
          <w:p w14:paraId="478BCDED" w14:textId="07DF224B"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 Setup</w:t>
            </w:r>
          </w:p>
        </w:tc>
        <w:tc>
          <w:tcPr>
            <w:tcW w:w="9383" w:type="dxa"/>
            <w:gridSpan w:val="6"/>
            <w:shd w:val="clear" w:color="auto" w:fill="F2F2F2" w:themeFill="background1" w:themeFillShade="F2"/>
          </w:tcPr>
          <w:p w14:paraId="5967D776" w14:textId="22353352" w:rsidR="0093788C" w:rsidRPr="0093788C" w:rsidRDefault="00937D83"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Whole-genome sequencing of a set of genotypes showing extreme stearic concentrations</w:t>
            </w:r>
            <w:r w:rsidRPr="00937D83">
              <w:rPr>
                <w:rFonts w:ascii="Calibri" w:eastAsia="Times New Roman" w:hAnsi="Calibri" w:cs="Calibri"/>
                <w:sz w:val="24"/>
                <w:szCs w:val="24"/>
              </w:rPr>
              <w:t>; Yield trials and germination assays to screen for deleterious effects.</w:t>
            </w:r>
          </w:p>
        </w:tc>
      </w:tr>
      <w:tr w:rsidR="0093788C" w:rsidRPr="0093788C" w14:paraId="66420589" w14:textId="77777777" w:rsidTr="001313E5">
        <w:trPr>
          <w:cantSplit/>
          <w:trHeight w:val="786"/>
        </w:trPr>
        <w:tc>
          <w:tcPr>
            <w:tcW w:w="1865" w:type="dxa"/>
            <w:gridSpan w:val="2"/>
            <w:shd w:val="clear" w:color="auto" w:fill="auto"/>
          </w:tcPr>
          <w:p w14:paraId="34061FB5" w14:textId="6DF3A2A9" w:rsidR="00205664"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Summary</w:t>
            </w:r>
          </w:p>
        </w:tc>
        <w:tc>
          <w:tcPr>
            <w:tcW w:w="9383" w:type="dxa"/>
            <w:gridSpan w:val="6"/>
            <w:shd w:val="clear" w:color="auto" w:fill="F2F2F2" w:themeFill="background1" w:themeFillShade="F2"/>
          </w:tcPr>
          <w:p w14:paraId="69FB3C37" w14:textId="4A569CA5" w:rsidR="0093788C" w:rsidRPr="0093788C" w:rsidRDefault="00BB4C79" w:rsidP="0093788C">
            <w:pPr>
              <w:spacing w:after="0" w:line="240" w:lineRule="auto"/>
              <w:rPr>
                <w:rFonts w:ascii="Calibri" w:eastAsia="Times New Roman" w:hAnsi="Calibri" w:cs="Calibri"/>
                <w:sz w:val="24"/>
                <w:szCs w:val="24"/>
              </w:rPr>
            </w:pPr>
            <w:r w:rsidRPr="00BB4C79">
              <w:rPr>
                <w:rFonts w:ascii="Calibri" w:eastAsia="Times New Roman" w:hAnsi="Calibri" w:cs="Calibri"/>
                <w:sz w:val="24"/>
                <w:szCs w:val="24"/>
              </w:rPr>
              <w:t>Overcoming the negative agronomic traits resulted from large mutation-induced deletions may allow the development of functional soybean varieties with ultra-high stearic acid content. This can give U.S soybean farmers a competitive edge in both the food and biodiesel industry by offering soybean lines with the highest achievable oxidative stability</w:t>
            </w:r>
          </w:p>
        </w:tc>
      </w:tr>
      <w:tr w:rsidR="0093788C" w:rsidRPr="0093788C" w14:paraId="58C35F31" w14:textId="77777777" w:rsidTr="001313E5">
        <w:trPr>
          <w:cantSplit/>
          <w:trHeight w:val="499"/>
        </w:trPr>
        <w:tc>
          <w:tcPr>
            <w:tcW w:w="1865" w:type="dxa"/>
            <w:gridSpan w:val="2"/>
            <w:shd w:val="clear" w:color="auto" w:fill="auto"/>
          </w:tcPr>
          <w:p w14:paraId="3036998E" w14:textId="35C5075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Key Metrics</w:t>
            </w:r>
          </w:p>
        </w:tc>
        <w:tc>
          <w:tcPr>
            <w:tcW w:w="9383" w:type="dxa"/>
            <w:gridSpan w:val="6"/>
            <w:shd w:val="clear" w:color="auto" w:fill="F2F2F2" w:themeFill="background1" w:themeFillShade="F2"/>
          </w:tcPr>
          <w:p w14:paraId="39ADB9F3" w14:textId="08B0CFAF" w:rsidR="0093788C" w:rsidRPr="0093788C" w:rsidRDefault="007F09E6" w:rsidP="0093788C">
            <w:pPr>
              <w:spacing w:after="0" w:line="240" w:lineRule="auto"/>
              <w:rPr>
                <w:rFonts w:ascii="Calibri" w:eastAsia="Times New Roman" w:hAnsi="Calibri" w:cs="Calibri"/>
                <w:sz w:val="24"/>
                <w:szCs w:val="24"/>
              </w:rPr>
            </w:pPr>
            <w:r w:rsidRPr="007F09E6">
              <w:rPr>
                <w:rFonts w:ascii="Calibri" w:eastAsia="Times New Roman" w:hAnsi="Calibri" w:cs="Calibri"/>
                <w:sz w:val="24"/>
                <w:szCs w:val="24"/>
              </w:rPr>
              <w:t>Capacity in molecularly characterizing genotypes; Field performance and germination assays; Number of functional genotypes advanced in the pipeline.</w:t>
            </w:r>
          </w:p>
        </w:tc>
      </w:tr>
      <w:tr w:rsidR="0093788C" w:rsidRPr="0093788C" w14:paraId="0F33A308" w14:textId="77777777" w:rsidTr="001313E5">
        <w:trPr>
          <w:cantSplit/>
          <w:trHeight w:val="517"/>
        </w:trPr>
        <w:tc>
          <w:tcPr>
            <w:tcW w:w="1865" w:type="dxa"/>
            <w:gridSpan w:val="2"/>
            <w:tcBorders>
              <w:bottom w:val="single" w:sz="4" w:space="0" w:color="auto"/>
            </w:tcBorders>
            <w:shd w:val="clear" w:color="auto" w:fill="auto"/>
          </w:tcPr>
          <w:p w14:paraId="5A27B25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Expected Deliverables</w:t>
            </w:r>
          </w:p>
        </w:tc>
        <w:tc>
          <w:tcPr>
            <w:tcW w:w="9383" w:type="dxa"/>
            <w:gridSpan w:val="6"/>
            <w:tcBorders>
              <w:bottom w:val="single" w:sz="4" w:space="0" w:color="auto"/>
            </w:tcBorders>
            <w:shd w:val="clear" w:color="auto" w:fill="F2F2F2" w:themeFill="background1" w:themeFillShade="F2"/>
          </w:tcPr>
          <w:p w14:paraId="3FF0AD42" w14:textId="03615148" w:rsidR="0093788C" w:rsidRPr="0093788C" w:rsidRDefault="00C52C7A" w:rsidP="0093788C">
            <w:pPr>
              <w:spacing w:after="0" w:line="240" w:lineRule="auto"/>
              <w:rPr>
                <w:rFonts w:ascii="Calibri" w:eastAsia="Times New Roman" w:hAnsi="Calibri" w:cs="Calibri"/>
                <w:sz w:val="24"/>
                <w:szCs w:val="24"/>
              </w:rPr>
            </w:pPr>
            <w:r w:rsidRPr="00C52C7A">
              <w:rPr>
                <w:rFonts w:ascii="Calibri" w:eastAsia="Times New Roman" w:hAnsi="Calibri" w:cs="Calibri"/>
                <w:sz w:val="24"/>
                <w:szCs w:val="24"/>
              </w:rPr>
              <w:t>Functional germplasms as parental lines in public and private breeding programs; enhanced knowledge in mutations and the dynamics of fatty acid profiles in soybean.</w:t>
            </w:r>
          </w:p>
        </w:tc>
      </w:tr>
      <w:tr w:rsidR="0093788C" w:rsidRPr="0093788C" w14:paraId="23DC86BC" w14:textId="77777777" w:rsidTr="001313E5">
        <w:trPr>
          <w:cantSplit/>
          <w:trHeight w:val="1076"/>
        </w:trPr>
        <w:tc>
          <w:tcPr>
            <w:tcW w:w="1865" w:type="dxa"/>
            <w:gridSpan w:val="2"/>
            <w:tcBorders>
              <w:bottom w:val="single" w:sz="4" w:space="0" w:color="auto"/>
            </w:tcBorders>
            <w:shd w:val="clear" w:color="auto" w:fill="auto"/>
          </w:tcPr>
          <w:p w14:paraId="4B022C84" w14:textId="51226779"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Benefit to midsouth farmers</w:t>
            </w:r>
          </w:p>
        </w:tc>
        <w:tc>
          <w:tcPr>
            <w:tcW w:w="9383" w:type="dxa"/>
            <w:gridSpan w:val="6"/>
            <w:tcBorders>
              <w:bottom w:val="single" w:sz="4" w:space="0" w:color="auto"/>
            </w:tcBorders>
            <w:shd w:val="clear" w:color="auto" w:fill="F2F2F2" w:themeFill="background1" w:themeFillShade="F2"/>
          </w:tcPr>
          <w:p w14:paraId="2D72B027" w14:textId="5EC82031" w:rsidR="0093788C" w:rsidRPr="0093788C" w:rsidRDefault="00132EE4" w:rsidP="0093788C">
            <w:pPr>
              <w:spacing w:after="0" w:line="240" w:lineRule="auto"/>
              <w:rPr>
                <w:rFonts w:ascii="Calibri" w:eastAsia="Times New Roman" w:hAnsi="Calibri" w:cs="Calibri"/>
                <w:sz w:val="24"/>
                <w:szCs w:val="24"/>
              </w:rPr>
            </w:pPr>
            <w:r w:rsidRPr="00132EE4">
              <w:rPr>
                <w:rFonts w:ascii="Calibri" w:eastAsia="Times New Roman" w:hAnsi="Calibri" w:cs="Calibri"/>
                <w:sz w:val="24"/>
                <w:szCs w:val="24"/>
              </w:rPr>
              <w:t>Give midsouth soybean farmers a competitive edge in both the food and biodiesel industry by offering soybean lines with the highest achievable oxidative stability. This novel fatty acid profile could result in attractive premiums attached to a high-yielding soybean line with added value for the specialty niche market.</w:t>
            </w:r>
          </w:p>
        </w:tc>
      </w:tr>
      <w:tr w:rsidR="007C031F" w:rsidRPr="0093788C" w14:paraId="631869C9" w14:textId="77777777" w:rsidTr="001313E5">
        <w:trPr>
          <w:cantSplit/>
          <w:trHeight w:val="312"/>
        </w:trPr>
        <w:tc>
          <w:tcPr>
            <w:tcW w:w="1865" w:type="dxa"/>
            <w:gridSpan w:val="2"/>
            <w:tcBorders>
              <w:bottom w:val="single" w:sz="4" w:space="0" w:color="auto"/>
            </w:tcBorders>
            <w:shd w:val="clear" w:color="auto" w:fill="auto"/>
          </w:tcPr>
          <w:p w14:paraId="2AFEF2B3" w14:textId="4C63E0E0" w:rsidR="007C031F" w:rsidRPr="007C031F" w:rsidRDefault="007C031F" w:rsidP="007C031F">
            <w:pPr>
              <w:spacing w:after="0" w:line="240" w:lineRule="auto"/>
              <w:rPr>
                <w:rFonts w:ascii="Calibri" w:eastAsia="Times New Roman" w:hAnsi="Calibri" w:cs="Calibri"/>
                <w:sz w:val="24"/>
                <w:szCs w:val="24"/>
              </w:rPr>
            </w:pPr>
            <w:r>
              <w:rPr>
                <w:rFonts w:ascii="Calibri" w:eastAsia="Times New Roman" w:hAnsi="Calibri" w:cs="Calibri"/>
                <w:sz w:val="24"/>
                <w:szCs w:val="24"/>
              </w:rPr>
              <w:t>Progress Made</w:t>
            </w:r>
          </w:p>
        </w:tc>
        <w:tc>
          <w:tcPr>
            <w:tcW w:w="9383" w:type="dxa"/>
            <w:gridSpan w:val="6"/>
            <w:tcBorders>
              <w:bottom w:val="single" w:sz="4" w:space="0" w:color="auto"/>
            </w:tcBorders>
            <w:shd w:val="clear" w:color="auto" w:fill="F2F2F2" w:themeFill="background1" w:themeFillShade="F2"/>
          </w:tcPr>
          <w:p w14:paraId="11B18A6E" w14:textId="75AE1CA4" w:rsidR="007C031F" w:rsidRPr="0093788C" w:rsidRDefault="000E028D"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Multi-year of yield trials and selection of high-yielding, high stearic breeding lines. Identification of genotypes with extreme stearic concentration and whole-genome sequencing strategies ongoing.</w:t>
            </w:r>
          </w:p>
        </w:tc>
      </w:tr>
      <w:tr w:rsidR="0093788C" w:rsidRPr="0093788C" w14:paraId="5731EBD5" w14:textId="77777777" w:rsidTr="001313E5">
        <w:trPr>
          <w:cantSplit/>
          <w:trHeight w:val="249"/>
        </w:trPr>
        <w:tc>
          <w:tcPr>
            <w:tcW w:w="7266" w:type="dxa"/>
            <w:gridSpan w:val="6"/>
            <w:tcBorders>
              <w:bottom w:val="nil"/>
            </w:tcBorders>
          </w:tcPr>
          <w:p w14:paraId="5E29A779" w14:textId="12D8428D"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Signature of Principle Investigator</w:t>
            </w:r>
          </w:p>
        </w:tc>
        <w:tc>
          <w:tcPr>
            <w:tcW w:w="3982" w:type="dxa"/>
            <w:gridSpan w:val="2"/>
            <w:tcBorders>
              <w:bottom w:val="nil"/>
            </w:tcBorders>
          </w:tcPr>
          <w:p w14:paraId="7F0AAA3D" w14:textId="2F8AA4FB"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Date:</w:t>
            </w:r>
            <w:r w:rsidR="00A229AE">
              <w:rPr>
                <w:rFonts w:ascii="Calibri" w:eastAsia="Times New Roman" w:hAnsi="Calibri" w:cs="Calibri"/>
                <w:sz w:val="24"/>
                <w:szCs w:val="24"/>
              </w:rPr>
              <w:t xml:space="preserve"> </w:t>
            </w:r>
            <w:r w:rsidR="00B74A64">
              <w:rPr>
                <w:rFonts w:ascii="Calibri" w:eastAsia="Times New Roman" w:hAnsi="Calibri" w:cs="Calibri"/>
                <w:sz w:val="24"/>
                <w:szCs w:val="24"/>
              </w:rPr>
              <w:t>8/12/2022</w:t>
            </w:r>
          </w:p>
        </w:tc>
      </w:tr>
      <w:tr w:rsidR="0093788C" w:rsidRPr="0093788C" w14:paraId="31894238" w14:textId="77777777" w:rsidTr="001313E5">
        <w:trPr>
          <w:cantSplit/>
          <w:trHeight w:val="385"/>
        </w:trPr>
        <w:tc>
          <w:tcPr>
            <w:tcW w:w="7266" w:type="dxa"/>
            <w:gridSpan w:val="6"/>
            <w:tcBorders>
              <w:top w:val="nil"/>
              <w:bottom w:val="single" w:sz="4" w:space="0" w:color="auto"/>
            </w:tcBorders>
            <w:shd w:val="clear" w:color="auto" w:fill="auto"/>
            <w:vAlign w:val="center"/>
          </w:tcPr>
          <w:p w14:paraId="31312604" w14:textId="7E8DC2BB" w:rsidR="0093788C" w:rsidRPr="0093788C" w:rsidRDefault="00A229AE" w:rsidP="0093788C">
            <w:pPr>
              <w:spacing w:after="0" w:line="240" w:lineRule="auto"/>
              <w:rPr>
                <w:rFonts w:ascii="Calibri" w:eastAsia="Times New Roman" w:hAnsi="Calibri" w:cs="Calibri"/>
                <w:sz w:val="24"/>
                <w:szCs w:val="24"/>
              </w:rPr>
            </w:pPr>
            <w:r>
              <w:rPr>
                <w:rFonts w:ascii="Calibri" w:eastAsia="Times New Roman" w:hAnsi="Calibri" w:cs="Calibri"/>
                <w:noProof/>
                <w:sz w:val="24"/>
                <w:szCs w:val="24"/>
              </w:rPr>
              <w:drawing>
                <wp:anchor distT="0" distB="0" distL="114300" distR="114300" simplePos="0" relativeHeight="251659264" behindDoc="0" locked="0" layoutInCell="1" allowOverlap="1" wp14:anchorId="06DA19A3" wp14:editId="7770376F">
                  <wp:simplePos x="0" y="0"/>
                  <wp:positionH relativeFrom="column">
                    <wp:posOffset>3379470</wp:posOffset>
                  </wp:positionH>
                  <wp:positionV relativeFrom="paragraph">
                    <wp:posOffset>-185420</wp:posOffset>
                  </wp:positionV>
                  <wp:extent cx="739775" cy="34798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689">
              <w:rPr>
                <w:rFonts w:ascii="Calibri" w:eastAsia="Times New Roman" w:hAnsi="Calibri" w:cs="Calibri"/>
                <w:sz w:val="24"/>
                <w:szCs w:val="24"/>
              </w:rPr>
              <w:t xml:space="preserve">Caio Canella Vieira on behalf of </w:t>
            </w:r>
            <w:r>
              <w:rPr>
                <w:rFonts w:ascii="Calibri" w:eastAsia="Times New Roman" w:hAnsi="Calibri" w:cs="Calibri"/>
                <w:sz w:val="24"/>
                <w:szCs w:val="24"/>
              </w:rPr>
              <w:t>Grover Shannon.</w:t>
            </w:r>
            <w:r>
              <w:rPr>
                <w:rFonts w:ascii="Calibri" w:eastAsia="Times New Roman" w:hAnsi="Calibri" w:cs="Calibri"/>
                <w:noProof/>
                <w:sz w:val="24"/>
                <w:szCs w:val="24"/>
              </w:rPr>
              <w:t xml:space="preserve"> </w:t>
            </w:r>
          </w:p>
        </w:tc>
        <w:tc>
          <w:tcPr>
            <w:tcW w:w="3982" w:type="dxa"/>
            <w:gridSpan w:val="2"/>
            <w:tcBorders>
              <w:top w:val="nil"/>
              <w:bottom w:val="single" w:sz="4" w:space="0" w:color="auto"/>
            </w:tcBorders>
            <w:shd w:val="clear" w:color="auto" w:fill="auto"/>
            <w:vAlign w:val="center"/>
          </w:tcPr>
          <w:p w14:paraId="458C46E9" w14:textId="77777777" w:rsidR="0093788C" w:rsidRPr="0093788C" w:rsidRDefault="0093788C" w:rsidP="0093788C">
            <w:pPr>
              <w:spacing w:after="0" w:line="240" w:lineRule="auto"/>
              <w:rPr>
                <w:rFonts w:ascii="Calibri" w:eastAsia="Times New Roman" w:hAnsi="Calibri" w:cs="Calibri"/>
                <w:sz w:val="24"/>
                <w:szCs w:val="24"/>
              </w:rPr>
            </w:pPr>
          </w:p>
        </w:tc>
      </w:tr>
    </w:tbl>
    <w:p w14:paraId="110F3DBD" w14:textId="686A8CE1" w:rsidR="0093788C" w:rsidRDefault="009149E7" w:rsidP="007F2D58">
      <w:pPr>
        <w:spacing w:after="100" w:afterAutospacing="1"/>
      </w:pPr>
      <w:r>
        <w:t>DO</w:t>
      </w:r>
      <w:r w:rsidR="009145A7">
        <w:t xml:space="preserve"> NOT GO OVER ONE PAGE.  THIS IS A </w:t>
      </w:r>
      <w:r w:rsidR="007F2D58">
        <w:t>SINGLE PAGE</w:t>
      </w:r>
      <w:r w:rsidR="009145A7">
        <w:t xml:space="preserve"> FOR THE BOARD MEMBER’S </w:t>
      </w:r>
      <w:r w:rsidR="007F2D58">
        <w:t xml:space="preserve">QUICK </w:t>
      </w:r>
      <w:r w:rsidR="009145A7">
        <w:t>REFERENCE.</w:t>
      </w:r>
    </w:p>
    <w:sectPr w:rsidR="0093788C" w:rsidSect="009149E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95BD" w14:textId="77777777" w:rsidR="00592EF4" w:rsidRDefault="00592EF4" w:rsidP="0093788C">
      <w:pPr>
        <w:spacing w:after="0" w:line="240" w:lineRule="auto"/>
      </w:pPr>
      <w:r>
        <w:separator/>
      </w:r>
    </w:p>
  </w:endnote>
  <w:endnote w:type="continuationSeparator" w:id="0">
    <w:p w14:paraId="2991CC93" w14:textId="77777777" w:rsidR="00592EF4" w:rsidRDefault="00592EF4"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7CF7" w14:textId="77777777" w:rsidR="00592EF4" w:rsidRDefault="00592EF4" w:rsidP="0093788C">
      <w:pPr>
        <w:spacing w:after="0" w:line="240" w:lineRule="auto"/>
      </w:pPr>
      <w:r>
        <w:separator/>
      </w:r>
    </w:p>
  </w:footnote>
  <w:footnote w:type="continuationSeparator" w:id="0">
    <w:p w14:paraId="052DAFC5" w14:textId="77777777" w:rsidR="00592EF4" w:rsidRDefault="00592EF4"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0A9" w14:textId="3D4DCD70" w:rsidR="0093788C" w:rsidRDefault="00205664">
    <w:pPr>
      <w:pStyle w:val="Header"/>
    </w:pPr>
    <w:r>
      <w:rPr>
        <w:noProof/>
      </w:rPr>
      <mc:AlternateContent>
        <mc:Choice Requires="wps">
          <w:drawing>
            <wp:anchor distT="91440" distB="91440" distL="137160" distR="137160" simplePos="0" relativeHeight="251659264" behindDoc="0" locked="0" layoutInCell="1" allowOverlap="1" wp14:anchorId="694A4601" wp14:editId="020793A5">
              <wp:simplePos x="0" y="0"/>
              <wp:positionH relativeFrom="margin">
                <wp:posOffset>400050</wp:posOffset>
              </wp:positionH>
              <wp:positionV relativeFrom="topMargin">
                <wp:posOffset>227965</wp:posOffset>
              </wp:positionV>
              <wp:extent cx="5610225" cy="409575"/>
              <wp:effectExtent l="0" t="0" r="0" b="9525"/>
              <wp:wrapSquare wrapText="bothSides"/>
              <wp:docPr id="140" name="Text Box 140"/>
              <wp:cNvGraphicFramePr/>
              <a:graphic xmlns:a="http://schemas.openxmlformats.org/drawingml/2006/main">
                <a:graphicData uri="http://schemas.microsoft.com/office/word/2010/wordprocessingShape">
                  <wps:wsp>
                    <wps:cNvSpPr txBox="1"/>
                    <wps:spPr>
                      <a:xfrm>
                        <a:off x="0" y="0"/>
                        <a:ext cx="56102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6B21" w14:textId="7A22A0DB" w:rsidR="0093788C" w:rsidRPr="0093788C" w:rsidRDefault="00205664" w:rsidP="007C031F">
                          <w:pPr>
                            <w:pStyle w:val="Title"/>
                          </w:pPr>
                          <w:r>
                            <w:t xml:space="preserve">     </w:t>
                          </w:r>
                          <w:r w:rsidR="007C031F">
                            <w:t xml:space="preserve">MSSB Research </w:t>
                          </w:r>
                          <w:r w:rsidR="009145A7">
                            <w:t xml:space="preserve">One Page </w:t>
                          </w:r>
                          <w:r w:rsidR="007C031F">
                            <w:t>Summary</w:t>
                          </w:r>
                        </w:p>
                        <w:p w14:paraId="1F77239D" w14:textId="77777777" w:rsidR="00205664" w:rsidRDefault="00205664"/>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31.5pt;margin-top:17.95pt;width:441.75pt;height:32.25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" filled="f" stroked="f" strokeweight=".5pt">
              <v:textbox inset="0,0,18pt,0">
                <w:txbxContent>
                  <w:p w14:paraId="4B8A6B21" w14:textId="7A22A0DB" w:rsidR="0093788C" w:rsidRPr="0093788C" w:rsidRDefault="00205664" w:rsidP="007C031F">
                    <w:pPr>
                      <w:pStyle w:val="Title"/>
                    </w:pPr>
                    <w:r>
                      <w:t xml:space="preserve">     </w:t>
                    </w:r>
                    <w:r w:rsidR="007C031F">
                      <w:t xml:space="preserve">MSSB Research </w:t>
                    </w:r>
                    <w:r w:rsidR="009145A7">
                      <w:t xml:space="preserve">One Page </w:t>
                    </w:r>
                    <w:r w:rsidR="007C031F">
                      <w:t>Summary</w:t>
                    </w:r>
                  </w:p>
                  <w:p w14:paraId="1F77239D" w14:textId="77777777" w:rsidR="00205664" w:rsidRDefault="00205664"/>
                </w:txbxContent>
              </v:textbox>
              <w10:wrap type="square" anchorx="margin" anchory="margin"/>
            </v:shape>
          </w:pict>
        </mc:Fallback>
      </mc:AlternateContent>
    </w:r>
    <w:r>
      <w:rPr>
        <w:noProof/>
      </w:rPr>
      <w:drawing>
        <wp:anchor distT="0" distB="0" distL="114300" distR="114300" simplePos="0" relativeHeight="251660288" behindDoc="1" locked="0" layoutInCell="1" allowOverlap="1" wp14:anchorId="2F8A0DF7" wp14:editId="209ECC28">
          <wp:simplePos x="0" y="0"/>
          <wp:positionH relativeFrom="margin">
            <wp:posOffset>-142875</wp:posOffset>
          </wp:positionH>
          <wp:positionV relativeFrom="paragraph">
            <wp:posOffset>-361950</wp:posOffset>
          </wp:positionV>
          <wp:extent cx="523875" cy="523875"/>
          <wp:effectExtent l="19050" t="0" r="28575" b="2000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387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U3szAzMTIyNTFW0lEKTi0uzszPAykwrAUA37nH8iwAAAA="/>
  </w:docVars>
  <w:rsids>
    <w:rsidRoot w:val="0093788C"/>
    <w:rsid w:val="000E028D"/>
    <w:rsid w:val="001313E5"/>
    <w:rsid w:val="00132EE4"/>
    <w:rsid w:val="001D3A76"/>
    <w:rsid w:val="00205664"/>
    <w:rsid w:val="002578A8"/>
    <w:rsid w:val="002E177F"/>
    <w:rsid w:val="0037646C"/>
    <w:rsid w:val="00392A75"/>
    <w:rsid w:val="005314CF"/>
    <w:rsid w:val="005748D3"/>
    <w:rsid w:val="00592EF4"/>
    <w:rsid w:val="007542A5"/>
    <w:rsid w:val="00765B71"/>
    <w:rsid w:val="007720FB"/>
    <w:rsid w:val="007C031F"/>
    <w:rsid w:val="007F09E6"/>
    <w:rsid w:val="007F2D58"/>
    <w:rsid w:val="008F4689"/>
    <w:rsid w:val="009145A7"/>
    <w:rsid w:val="009149E7"/>
    <w:rsid w:val="0093788C"/>
    <w:rsid w:val="00937D83"/>
    <w:rsid w:val="00966AAE"/>
    <w:rsid w:val="009867AE"/>
    <w:rsid w:val="009D1A41"/>
    <w:rsid w:val="00A229AE"/>
    <w:rsid w:val="00B26D1E"/>
    <w:rsid w:val="00B74A64"/>
    <w:rsid w:val="00BB4C79"/>
    <w:rsid w:val="00C249B5"/>
    <w:rsid w:val="00C52C7A"/>
    <w:rsid w:val="00C97BBE"/>
    <w:rsid w:val="00E620A6"/>
    <w:rsid w:val="00E83210"/>
    <w:rsid w:val="00E876FC"/>
    <w:rsid w:val="00E87B58"/>
    <w:rsid w:val="00E95E60"/>
    <w:rsid w:val="00EB08D2"/>
    <w:rsid w:val="00F63B2F"/>
    <w:rsid w:val="00F6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DDF5"/>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26D1E"/>
    <w:rPr>
      <w:color w:val="0563C1" w:themeColor="hyperlink"/>
      <w:u w:val="single"/>
    </w:rPr>
  </w:style>
  <w:style w:type="character" w:styleId="UnresolvedMention">
    <w:name w:val="Unresolved Mention"/>
    <w:basedOn w:val="DefaultParagraphFont"/>
    <w:uiPriority w:val="99"/>
    <w:semiHidden/>
    <w:unhideWhenUsed/>
    <w:rsid w:val="00B2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hannonjg@missour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C90EDBA55B24994D27E40D9B366FA" ma:contentTypeVersion="17" ma:contentTypeDescription="Create a new document." ma:contentTypeScope="" ma:versionID="8442fcc0ccb9b2cb04d0d17635a056e8">
  <xsd:schema xmlns:xsd="http://www.w3.org/2001/XMLSchema" xmlns:xs="http://www.w3.org/2001/XMLSchema" xmlns:p="http://schemas.microsoft.com/office/2006/metadata/properties" xmlns:ns1="http://schemas.microsoft.com/sharepoint/v3" xmlns:ns2="9bd33661-7264-4633-9226-fba6aeef08ea" xmlns:ns3="70e68cd6-7252-44ce-bf81-24cb873d0ea8" targetNamespace="http://schemas.microsoft.com/office/2006/metadata/properties" ma:root="true" ma:fieldsID="6e51909b684aa52126acb9f287b59d63" ns1:_="" ns2:_="" ns3:_="">
    <xsd:import namespace="http://schemas.microsoft.com/sharepoint/v3"/>
    <xsd:import namespace="9bd33661-7264-4633-9226-fba6aeef08ea"/>
    <xsd:import namespace="70e68cd6-7252-44ce-bf81-24cb873d0e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33661-7264-4633-9226-fba6aeef0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e68cd6-7252-44ce-bf81-24cb873d0e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4a0210-235e-4862-850f-952502b627ff}" ma:internalName="TaxCatchAll" ma:showField="CatchAllData" ma:web="70e68cd6-7252-44ce-bf81-24cb873d0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607C9-588E-40D7-9C3E-20FEF63403DF}">
  <ds:schemaRefs>
    <ds:schemaRef ds:uri="http://schemas.openxmlformats.org/officeDocument/2006/bibliography"/>
  </ds:schemaRefs>
</ds:datastoreItem>
</file>

<file path=customXml/itemProps2.xml><?xml version="1.0" encoding="utf-8"?>
<ds:datastoreItem xmlns:ds="http://schemas.openxmlformats.org/officeDocument/2006/customXml" ds:itemID="{9706F281-BB29-4CEC-81D2-289EC981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33661-7264-4633-9226-fba6aeef08ea"/>
    <ds:schemaRef ds:uri="70e68cd6-7252-44ce-bf81-24cb873d0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6EAE9-E8DE-420D-80B6-A100CC5FE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2328</Characters>
  <Application>Microsoft Office Word</Application>
  <DocSecurity>4</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Skouby, Danielle</cp:lastModifiedBy>
  <cp:revision>2</cp:revision>
  <dcterms:created xsi:type="dcterms:W3CDTF">2022-08-16T19:43:00Z</dcterms:created>
  <dcterms:modified xsi:type="dcterms:W3CDTF">2022-08-16T19:43:00Z</dcterms:modified>
</cp:coreProperties>
</file>