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FAB62" w14:textId="77777777" w:rsidR="008678A0" w:rsidRPr="008678A0" w:rsidRDefault="008678A0" w:rsidP="00691716">
      <w:pPr>
        <w:widowControl w:val="0"/>
        <w:spacing w:after="0"/>
        <w:jc w:val="center"/>
        <w:rPr>
          <w:rFonts w:ascii="Times New Roman" w:hAnsi="Times New Roman"/>
          <w:b/>
          <w:sz w:val="22"/>
          <w:szCs w:val="22"/>
        </w:rPr>
      </w:pPr>
      <w:r w:rsidRPr="008678A0">
        <w:rPr>
          <w:rFonts w:ascii="Times New Roman" w:hAnsi="Times New Roman"/>
          <w:sz w:val="22"/>
          <w:szCs w:val="22"/>
        </w:rPr>
        <w:fldChar w:fldCharType="begin"/>
      </w:r>
      <w:r w:rsidRPr="008678A0">
        <w:rPr>
          <w:rFonts w:ascii="Times New Roman" w:hAnsi="Times New Roman"/>
          <w:sz w:val="22"/>
          <w:szCs w:val="22"/>
        </w:rPr>
        <w:instrText xml:space="preserve"> SEQ CHAPTER \h \r 1</w:instrText>
      </w:r>
      <w:r w:rsidRPr="008678A0">
        <w:rPr>
          <w:rFonts w:ascii="Times New Roman" w:hAnsi="Times New Roman"/>
          <w:sz w:val="22"/>
          <w:szCs w:val="22"/>
        </w:rPr>
        <w:fldChar w:fldCharType="end"/>
      </w:r>
      <w:r w:rsidRPr="008678A0">
        <w:rPr>
          <w:rFonts w:ascii="Times New Roman" w:hAnsi="Times New Roman"/>
          <w:b/>
          <w:sz w:val="22"/>
          <w:szCs w:val="22"/>
        </w:rPr>
        <w:t>REQUEST FOR FUNDING OF RESEARCH</w:t>
      </w:r>
    </w:p>
    <w:p w14:paraId="327E90FD" w14:textId="77777777" w:rsidR="008678A0" w:rsidRPr="008678A0" w:rsidRDefault="008678A0" w:rsidP="00691716">
      <w:pPr>
        <w:widowControl w:val="0"/>
        <w:spacing w:after="0"/>
        <w:jc w:val="center"/>
        <w:rPr>
          <w:rFonts w:ascii="Times New Roman" w:hAnsi="Times New Roman"/>
          <w:b/>
          <w:sz w:val="22"/>
          <w:szCs w:val="22"/>
        </w:rPr>
      </w:pPr>
      <w:r w:rsidRPr="008678A0">
        <w:rPr>
          <w:rFonts w:ascii="Times New Roman" w:hAnsi="Times New Roman"/>
          <w:b/>
          <w:sz w:val="22"/>
          <w:szCs w:val="22"/>
        </w:rPr>
        <w:t>201</w:t>
      </w:r>
      <w:r w:rsidR="00B060E6">
        <w:rPr>
          <w:rFonts w:ascii="Times New Roman" w:hAnsi="Times New Roman"/>
          <w:b/>
          <w:sz w:val="22"/>
          <w:szCs w:val="22"/>
        </w:rPr>
        <w:t>9-2020</w:t>
      </w:r>
      <w:r w:rsidRPr="008678A0">
        <w:rPr>
          <w:rFonts w:ascii="Times New Roman" w:hAnsi="Times New Roman"/>
          <w:b/>
          <w:sz w:val="22"/>
          <w:szCs w:val="22"/>
        </w:rPr>
        <w:t xml:space="preserve"> FUNDING CYCLE</w:t>
      </w:r>
    </w:p>
    <w:p w14:paraId="3C8D1134" w14:textId="77777777" w:rsidR="008678A0" w:rsidRPr="008678A0" w:rsidRDefault="008678A0" w:rsidP="00691716">
      <w:pPr>
        <w:widowControl w:val="0"/>
        <w:spacing w:after="0"/>
        <w:rPr>
          <w:rFonts w:ascii="Times New Roman" w:hAnsi="Times New Roman"/>
          <w:sz w:val="22"/>
          <w:szCs w:val="22"/>
        </w:rPr>
      </w:pPr>
    </w:p>
    <w:p w14:paraId="0AD9C2D3" w14:textId="77777777" w:rsidR="008678A0" w:rsidRPr="008678A0" w:rsidRDefault="008678A0" w:rsidP="00691716">
      <w:pPr>
        <w:widowControl w:val="0"/>
        <w:spacing w:after="0"/>
        <w:rPr>
          <w:rFonts w:ascii="Times New Roman" w:hAnsi="Times New Roman"/>
          <w:sz w:val="22"/>
          <w:szCs w:val="22"/>
        </w:rPr>
      </w:pPr>
      <w:r w:rsidRPr="008678A0">
        <w:rPr>
          <w:rFonts w:ascii="Times New Roman" w:hAnsi="Times New Roman"/>
          <w:b/>
          <w:sz w:val="22"/>
          <w:szCs w:val="22"/>
        </w:rPr>
        <w:t>TITLE:</w:t>
      </w:r>
      <w:r w:rsidR="004E0C1D">
        <w:rPr>
          <w:rFonts w:ascii="Times New Roman" w:hAnsi="Times New Roman"/>
          <w:b/>
          <w:sz w:val="22"/>
          <w:szCs w:val="22"/>
        </w:rPr>
        <w:t xml:space="preserve"> </w:t>
      </w:r>
      <w:r w:rsidR="007964E7">
        <w:rPr>
          <w:rFonts w:ascii="Times New Roman" w:hAnsi="Times New Roman"/>
          <w:b/>
          <w:sz w:val="22"/>
          <w:szCs w:val="22"/>
        </w:rPr>
        <w:tab/>
      </w:r>
      <w:bookmarkStart w:id="0" w:name="_GoBack"/>
      <w:r w:rsidR="004E0C1D" w:rsidRPr="00FE149C">
        <w:rPr>
          <w:rFonts w:ascii="Times New Roman" w:hAnsi="Times New Roman"/>
          <w:sz w:val="22"/>
          <w:szCs w:val="22"/>
        </w:rPr>
        <w:t>Screening and Selecting Non-</w:t>
      </w:r>
      <w:proofErr w:type="spellStart"/>
      <w:r w:rsidR="00F367A9">
        <w:rPr>
          <w:rFonts w:ascii="Times New Roman" w:hAnsi="Times New Roman"/>
          <w:sz w:val="22"/>
          <w:szCs w:val="22"/>
        </w:rPr>
        <w:t>Xtend</w:t>
      </w:r>
      <w:proofErr w:type="spellEnd"/>
      <w:r w:rsidR="004E0C1D" w:rsidRPr="00FE149C">
        <w:rPr>
          <w:rFonts w:ascii="Times New Roman" w:hAnsi="Times New Roman"/>
          <w:sz w:val="22"/>
          <w:szCs w:val="22"/>
        </w:rPr>
        <w:t xml:space="preserve"> Soybeans for Dicamba Tolerance</w:t>
      </w:r>
      <w:r w:rsidR="004E0C1D">
        <w:rPr>
          <w:rFonts w:ascii="Times New Roman" w:hAnsi="Times New Roman"/>
          <w:b/>
          <w:sz w:val="22"/>
          <w:szCs w:val="22"/>
        </w:rPr>
        <w:t xml:space="preserve"> </w:t>
      </w:r>
      <w:bookmarkEnd w:id="0"/>
    </w:p>
    <w:p w14:paraId="5F13BE57" w14:textId="77777777" w:rsidR="008678A0" w:rsidRPr="008678A0" w:rsidRDefault="008678A0" w:rsidP="00691716">
      <w:pPr>
        <w:widowControl w:val="0"/>
        <w:spacing w:after="0"/>
        <w:rPr>
          <w:rFonts w:ascii="Times New Roman" w:hAnsi="Times New Roman"/>
          <w:sz w:val="22"/>
          <w:szCs w:val="22"/>
        </w:rPr>
      </w:pPr>
    </w:p>
    <w:p w14:paraId="1379F776" w14:textId="77777777" w:rsidR="008678A0" w:rsidRDefault="008678A0" w:rsidP="00691716">
      <w:pPr>
        <w:widowControl w:val="0"/>
        <w:spacing w:after="0"/>
        <w:rPr>
          <w:rFonts w:ascii="Times New Roman" w:hAnsi="Times New Roman"/>
          <w:sz w:val="22"/>
          <w:szCs w:val="22"/>
        </w:rPr>
      </w:pPr>
      <w:r w:rsidRPr="008678A0">
        <w:rPr>
          <w:rFonts w:ascii="Times New Roman" w:hAnsi="Times New Roman"/>
          <w:b/>
          <w:sz w:val="22"/>
          <w:szCs w:val="22"/>
        </w:rPr>
        <w:t>INVESTIGATORS:</w:t>
      </w:r>
      <w:r w:rsidRPr="008678A0">
        <w:rPr>
          <w:rFonts w:ascii="Times New Roman" w:hAnsi="Times New Roman"/>
          <w:sz w:val="22"/>
          <w:szCs w:val="22"/>
        </w:rPr>
        <w:t xml:space="preserve"> </w:t>
      </w:r>
    </w:p>
    <w:p w14:paraId="491713E7" w14:textId="77777777" w:rsidR="00A1343B" w:rsidRDefault="00FF7725" w:rsidP="00691716">
      <w:pPr>
        <w:widowControl w:val="0"/>
        <w:spacing w:after="0"/>
        <w:rPr>
          <w:rFonts w:ascii="Times New Roman" w:hAnsi="Times New Roman"/>
          <w:sz w:val="22"/>
          <w:szCs w:val="22"/>
        </w:rPr>
      </w:pPr>
      <w:r>
        <w:rPr>
          <w:rFonts w:ascii="Times New Roman" w:hAnsi="Times New Roman"/>
          <w:sz w:val="22"/>
          <w:szCs w:val="22"/>
        </w:rPr>
        <w:tab/>
      </w:r>
      <w:r w:rsidR="00FE149C">
        <w:rPr>
          <w:rFonts w:ascii="Times New Roman" w:hAnsi="Times New Roman"/>
          <w:sz w:val="22"/>
          <w:szCs w:val="22"/>
        </w:rPr>
        <w:tab/>
      </w:r>
      <w:proofErr w:type="spellStart"/>
      <w:r w:rsidR="00605BC8">
        <w:rPr>
          <w:rFonts w:ascii="Times New Roman" w:hAnsi="Times New Roman"/>
          <w:sz w:val="22"/>
          <w:szCs w:val="22"/>
        </w:rPr>
        <w:t>Caio</w:t>
      </w:r>
      <w:proofErr w:type="spellEnd"/>
      <w:r w:rsidR="00605BC8">
        <w:rPr>
          <w:rFonts w:ascii="Times New Roman" w:hAnsi="Times New Roman"/>
          <w:sz w:val="22"/>
          <w:szCs w:val="22"/>
        </w:rPr>
        <w:t xml:space="preserve"> Vieira</w:t>
      </w:r>
      <w:r w:rsidR="00C641E0">
        <w:rPr>
          <w:rFonts w:ascii="Times New Roman" w:hAnsi="Times New Roman"/>
          <w:sz w:val="22"/>
          <w:szCs w:val="22"/>
        </w:rPr>
        <w:t xml:space="preserve"> </w:t>
      </w:r>
      <w:r w:rsidR="00A1343B">
        <w:rPr>
          <w:rFonts w:ascii="Times New Roman" w:hAnsi="Times New Roman"/>
          <w:sz w:val="22"/>
          <w:szCs w:val="22"/>
        </w:rPr>
        <w:t>(Graduate Student)</w:t>
      </w:r>
    </w:p>
    <w:p w14:paraId="15635AF0" w14:textId="77777777" w:rsidR="00FF7725" w:rsidRDefault="00FF7725" w:rsidP="00A1343B">
      <w:pPr>
        <w:widowControl w:val="0"/>
        <w:spacing w:after="0"/>
        <w:ind w:left="720" w:firstLine="720"/>
        <w:rPr>
          <w:rFonts w:ascii="Times New Roman" w:hAnsi="Times New Roman"/>
          <w:sz w:val="22"/>
          <w:szCs w:val="22"/>
        </w:rPr>
      </w:pPr>
      <w:proofErr w:type="spellStart"/>
      <w:r>
        <w:rPr>
          <w:rFonts w:ascii="Times New Roman" w:hAnsi="Times New Roman"/>
          <w:sz w:val="22"/>
          <w:szCs w:val="22"/>
        </w:rPr>
        <w:t>Pengyin</w:t>
      </w:r>
      <w:proofErr w:type="spellEnd"/>
      <w:r>
        <w:rPr>
          <w:rFonts w:ascii="Times New Roman" w:hAnsi="Times New Roman"/>
          <w:sz w:val="22"/>
          <w:szCs w:val="22"/>
        </w:rPr>
        <w:t xml:space="preserve"> Chen</w:t>
      </w:r>
      <w:r w:rsidR="00C641E0">
        <w:rPr>
          <w:rFonts w:ascii="Times New Roman" w:hAnsi="Times New Roman"/>
          <w:sz w:val="22"/>
          <w:szCs w:val="22"/>
        </w:rPr>
        <w:t xml:space="preserve"> (Advisor) </w:t>
      </w:r>
    </w:p>
    <w:p w14:paraId="1FA470BF" w14:textId="77777777" w:rsidR="00FF7725" w:rsidRDefault="00FF7725" w:rsidP="00691716">
      <w:pPr>
        <w:widowControl w:val="0"/>
        <w:spacing w:after="0"/>
        <w:rPr>
          <w:rFonts w:ascii="Times New Roman" w:hAnsi="Times New Roman"/>
          <w:sz w:val="22"/>
          <w:szCs w:val="22"/>
        </w:rPr>
      </w:pPr>
      <w:r>
        <w:rPr>
          <w:rFonts w:ascii="Times New Roman" w:hAnsi="Times New Roman"/>
          <w:sz w:val="22"/>
          <w:szCs w:val="22"/>
        </w:rPr>
        <w:tab/>
      </w:r>
      <w:r w:rsidR="00FE149C">
        <w:rPr>
          <w:rFonts w:ascii="Times New Roman" w:hAnsi="Times New Roman"/>
          <w:sz w:val="22"/>
          <w:szCs w:val="22"/>
        </w:rPr>
        <w:tab/>
      </w:r>
      <w:r>
        <w:rPr>
          <w:rFonts w:ascii="Times New Roman" w:hAnsi="Times New Roman"/>
          <w:sz w:val="22"/>
          <w:szCs w:val="22"/>
        </w:rPr>
        <w:t>Professor and Soybean Breeder</w:t>
      </w:r>
    </w:p>
    <w:p w14:paraId="028614C6" w14:textId="77777777" w:rsidR="00FF7725" w:rsidRDefault="00FF7725" w:rsidP="00691716">
      <w:pPr>
        <w:widowControl w:val="0"/>
        <w:spacing w:after="0"/>
        <w:rPr>
          <w:rFonts w:ascii="Times New Roman" w:hAnsi="Times New Roman"/>
          <w:sz w:val="22"/>
          <w:szCs w:val="22"/>
        </w:rPr>
      </w:pPr>
      <w:r>
        <w:rPr>
          <w:rFonts w:ascii="Times New Roman" w:hAnsi="Times New Roman"/>
          <w:sz w:val="22"/>
          <w:szCs w:val="22"/>
        </w:rPr>
        <w:tab/>
      </w:r>
      <w:r w:rsidR="00FE149C">
        <w:rPr>
          <w:rFonts w:ascii="Times New Roman" w:hAnsi="Times New Roman"/>
          <w:sz w:val="22"/>
          <w:szCs w:val="22"/>
        </w:rPr>
        <w:tab/>
      </w:r>
      <w:r>
        <w:rPr>
          <w:rFonts w:ascii="Times New Roman" w:hAnsi="Times New Roman"/>
          <w:sz w:val="22"/>
          <w:szCs w:val="22"/>
        </w:rPr>
        <w:t>University of Missouri – Delta Center</w:t>
      </w:r>
    </w:p>
    <w:p w14:paraId="6CD7AB0C" w14:textId="77777777" w:rsidR="00FF7725" w:rsidRDefault="00FF7725" w:rsidP="00691716">
      <w:pPr>
        <w:widowControl w:val="0"/>
        <w:spacing w:after="0"/>
        <w:rPr>
          <w:rFonts w:ascii="Times New Roman" w:hAnsi="Times New Roman"/>
          <w:sz w:val="22"/>
          <w:szCs w:val="22"/>
        </w:rPr>
      </w:pPr>
      <w:r>
        <w:rPr>
          <w:rFonts w:ascii="Times New Roman" w:hAnsi="Times New Roman"/>
          <w:sz w:val="22"/>
          <w:szCs w:val="22"/>
        </w:rPr>
        <w:tab/>
      </w:r>
      <w:r w:rsidR="00FE149C">
        <w:rPr>
          <w:rFonts w:ascii="Times New Roman" w:hAnsi="Times New Roman"/>
          <w:sz w:val="22"/>
          <w:szCs w:val="22"/>
        </w:rPr>
        <w:tab/>
      </w:r>
      <w:r>
        <w:rPr>
          <w:rFonts w:ascii="Times New Roman" w:hAnsi="Times New Roman"/>
          <w:sz w:val="22"/>
          <w:szCs w:val="22"/>
        </w:rPr>
        <w:t>573-379-6958</w:t>
      </w:r>
    </w:p>
    <w:p w14:paraId="28C9D144" w14:textId="77777777" w:rsidR="00FF7725" w:rsidRPr="00FF7725" w:rsidRDefault="00FF7725" w:rsidP="00691716">
      <w:pPr>
        <w:widowControl w:val="0"/>
        <w:spacing w:after="0"/>
        <w:rPr>
          <w:rFonts w:ascii="Times New Roman" w:hAnsi="Times New Roman"/>
          <w:sz w:val="22"/>
          <w:szCs w:val="22"/>
        </w:rPr>
      </w:pPr>
      <w:r>
        <w:rPr>
          <w:rFonts w:ascii="Times New Roman" w:hAnsi="Times New Roman"/>
          <w:sz w:val="22"/>
          <w:szCs w:val="22"/>
        </w:rPr>
        <w:tab/>
      </w:r>
      <w:r w:rsidR="00FE149C">
        <w:rPr>
          <w:rFonts w:ascii="Times New Roman" w:hAnsi="Times New Roman"/>
          <w:sz w:val="22"/>
          <w:szCs w:val="22"/>
        </w:rPr>
        <w:tab/>
      </w:r>
      <w:r>
        <w:rPr>
          <w:rFonts w:ascii="Times New Roman" w:hAnsi="Times New Roman"/>
          <w:sz w:val="22"/>
          <w:szCs w:val="22"/>
        </w:rPr>
        <w:t>Chenpe@missouri.edu</w:t>
      </w:r>
    </w:p>
    <w:p w14:paraId="616DE974" w14:textId="77777777" w:rsidR="008678A0" w:rsidRPr="008678A0" w:rsidRDefault="008678A0" w:rsidP="00691716">
      <w:pPr>
        <w:widowControl w:val="0"/>
        <w:spacing w:after="0"/>
        <w:rPr>
          <w:rFonts w:ascii="Times New Roman" w:hAnsi="Times New Roman"/>
          <w:sz w:val="22"/>
          <w:szCs w:val="22"/>
        </w:rPr>
      </w:pPr>
    </w:p>
    <w:p w14:paraId="50A1F97B" w14:textId="77777777" w:rsidR="008678A0" w:rsidRPr="008678A0" w:rsidRDefault="008678A0" w:rsidP="00691716">
      <w:pPr>
        <w:widowControl w:val="0"/>
        <w:spacing w:after="0"/>
        <w:rPr>
          <w:rFonts w:ascii="Times New Roman" w:hAnsi="Times New Roman"/>
          <w:sz w:val="22"/>
          <w:szCs w:val="22"/>
        </w:rPr>
      </w:pPr>
      <w:r w:rsidRPr="008678A0">
        <w:rPr>
          <w:rFonts w:ascii="Times New Roman" w:hAnsi="Times New Roman"/>
          <w:b/>
          <w:sz w:val="22"/>
          <w:szCs w:val="22"/>
        </w:rPr>
        <w:t>PROGRAM AREA (check all that apply):</w:t>
      </w:r>
    </w:p>
    <w:p w14:paraId="70ECC490" w14:textId="77777777" w:rsidR="008678A0" w:rsidRPr="008678A0" w:rsidRDefault="008678A0" w:rsidP="00691716">
      <w:pPr>
        <w:widowControl w:val="0"/>
        <w:spacing w:after="0"/>
        <w:rPr>
          <w:rFonts w:ascii="Times New Roman" w:hAnsi="Times New Roman"/>
          <w:sz w:val="22"/>
          <w:szCs w:val="22"/>
        </w:rPr>
      </w:pPr>
    </w:p>
    <w:p w14:paraId="463DC332" w14:textId="77777777" w:rsidR="0024765D" w:rsidRDefault="008678A0" w:rsidP="00691716">
      <w:pPr>
        <w:widowControl w:val="0"/>
        <w:spacing w:after="0"/>
        <w:rPr>
          <w:rFonts w:ascii="Times New Roman" w:hAnsi="Times New Roman"/>
          <w:sz w:val="22"/>
          <w:szCs w:val="22"/>
        </w:rPr>
      </w:pPr>
      <w:r w:rsidRPr="008678A0">
        <w:rPr>
          <w:rFonts w:ascii="Times New Roman" w:hAnsi="Times New Roman"/>
          <w:sz w:val="22"/>
          <w:szCs w:val="22"/>
        </w:rPr>
        <w:t>_</w:t>
      </w:r>
      <w:r w:rsidR="0008619F" w:rsidRPr="0008619F">
        <w:rPr>
          <w:rFonts w:ascii="Times New Roman" w:hAnsi="Times New Roman"/>
          <w:sz w:val="22"/>
          <w:szCs w:val="22"/>
          <w:u w:val="single"/>
        </w:rPr>
        <w:t>x</w:t>
      </w:r>
      <w:r w:rsidRPr="008678A0">
        <w:rPr>
          <w:rFonts w:ascii="Times New Roman" w:hAnsi="Times New Roman"/>
          <w:sz w:val="22"/>
          <w:szCs w:val="22"/>
        </w:rPr>
        <w:t>_ Management of weeds, to include resistanc</w:t>
      </w:r>
      <w:r w:rsidR="0024765D">
        <w:rPr>
          <w:rFonts w:ascii="Times New Roman" w:hAnsi="Times New Roman"/>
          <w:sz w:val="22"/>
          <w:szCs w:val="22"/>
        </w:rPr>
        <w:t>e management and economics</w:t>
      </w:r>
      <w:r w:rsidRPr="008678A0">
        <w:rPr>
          <w:rFonts w:ascii="Times New Roman" w:hAnsi="Times New Roman"/>
          <w:sz w:val="22"/>
          <w:szCs w:val="22"/>
        </w:rPr>
        <w:t xml:space="preserve"> </w:t>
      </w:r>
    </w:p>
    <w:p w14:paraId="4A762ACF" w14:textId="77777777" w:rsidR="008678A0" w:rsidRPr="008678A0" w:rsidRDefault="008678A0" w:rsidP="00691716">
      <w:pPr>
        <w:widowControl w:val="0"/>
        <w:spacing w:after="0"/>
        <w:rPr>
          <w:rFonts w:ascii="Times New Roman" w:hAnsi="Times New Roman"/>
          <w:sz w:val="22"/>
          <w:szCs w:val="22"/>
        </w:rPr>
      </w:pPr>
      <w:r w:rsidRPr="008678A0">
        <w:rPr>
          <w:rFonts w:ascii="Times New Roman" w:hAnsi="Times New Roman"/>
          <w:sz w:val="22"/>
          <w:szCs w:val="22"/>
        </w:rPr>
        <w:t>___Irrigation/water management</w:t>
      </w:r>
    </w:p>
    <w:p w14:paraId="32551247" w14:textId="77777777" w:rsidR="008678A0" w:rsidRPr="008678A0" w:rsidRDefault="008678A0" w:rsidP="00691716">
      <w:pPr>
        <w:widowControl w:val="0"/>
        <w:spacing w:after="0"/>
        <w:rPr>
          <w:rFonts w:ascii="Times New Roman" w:hAnsi="Times New Roman"/>
          <w:sz w:val="22"/>
          <w:szCs w:val="22"/>
        </w:rPr>
      </w:pPr>
      <w:r w:rsidRPr="008678A0">
        <w:rPr>
          <w:rFonts w:ascii="Times New Roman" w:hAnsi="Times New Roman"/>
          <w:sz w:val="22"/>
          <w:szCs w:val="22"/>
        </w:rPr>
        <w:t>___</w:t>
      </w:r>
      <w:r w:rsidR="00413739">
        <w:rPr>
          <w:rFonts w:ascii="Times New Roman" w:hAnsi="Times New Roman"/>
          <w:sz w:val="22"/>
          <w:szCs w:val="22"/>
        </w:rPr>
        <w:t>Quality of harvested seed—Phomopsis/</w:t>
      </w:r>
      <w:r w:rsidRPr="008678A0">
        <w:rPr>
          <w:rFonts w:ascii="Times New Roman" w:hAnsi="Times New Roman"/>
          <w:sz w:val="22"/>
          <w:szCs w:val="22"/>
        </w:rPr>
        <w:t>Seed rot</w:t>
      </w:r>
    </w:p>
    <w:p w14:paraId="04AB07C9" w14:textId="77777777" w:rsidR="008678A0" w:rsidRPr="008678A0" w:rsidRDefault="008678A0" w:rsidP="00691716">
      <w:pPr>
        <w:widowControl w:val="0"/>
        <w:spacing w:after="0"/>
        <w:rPr>
          <w:rFonts w:ascii="Times New Roman" w:hAnsi="Times New Roman"/>
          <w:sz w:val="22"/>
          <w:szCs w:val="22"/>
        </w:rPr>
      </w:pPr>
      <w:r w:rsidRPr="008678A0">
        <w:rPr>
          <w:rFonts w:ascii="Times New Roman" w:hAnsi="Times New Roman"/>
          <w:sz w:val="22"/>
          <w:szCs w:val="22"/>
        </w:rPr>
        <w:t>___ Disease Management/Control</w:t>
      </w:r>
    </w:p>
    <w:p w14:paraId="30566344" w14:textId="77777777" w:rsidR="008678A0" w:rsidRPr="008678A0" w:rsidRDefault="008678A0" w:rsidP="00691716">
      <w:pPr>
        <w:widowControl w:val="0"/>
        <w:spacing w:after="0"/>
        <w:rPr>
          <w:rFonts w:ascii="Times New Roman" w:hAnsi="Times New Roman"/>
          <w:sz w:val="22"/>
          <w:szCs w:val="22"/>
        </w:rPr>
      </w:pPr>
      <w:r w:rsidRPr="008678A0">
        <w:rPr>
          <w:rFonts w:ascii="Times New Roman" w:hAnsi="Times New Roman"/>
          <w:sz w:val="22"/>
          <w:szCs w:val="22"/>
        </w:rPr>
        <w:t>___ Fertility needs (especially P and K) for optimum and economical yield</w:t>
      </w:r>
    </w:p>
    <w:p w14:paraId="7D2AF8D9" w14:textId="77777777" w:rsidR="008678A0" w:rsidRPr="008678A0" w:rsidRDefault="008678A0" w:rsidP="00691716">
      <w:pPr>
        <w:widowControl w:val="0"/>
        <w:spacing w:after="0"/>
        <w:rPr>
          <w:rFonts w:ascii="Times New Roman" w:hAnsi="Times New Roman"/>
          <w:sz w:val="22"/>
          <w:szCs w:val="22"/>
        </w:rPr>
      </w:pPr>
      <w:r w:rsidRPr="008678A0">
        <w:rPr>
          <w:rFonts w:ascii="Times New Roman" w:hAnsi="Times New Roman"/>
          <w:sz w:val="22"/>
          <w:szCs w:val="22"/>
        </w:rPr>
        <w:t>___ Insect management/Control, especially late-season populations</w:t>
      </w:r>
    </w:p>
    <w:p w14:paraId="7499922B" w14:textId="77777777" w:rsidR="008678A0" w:rsidRPr="008678A0" w:rsidRDefault="008678A0" w:rsidP="00691716">
      <w:pPr>
        <w:widowControl w:val="0"/>
        <w:spacing w:after="0"/>
        <w:rPr>
          <w:rFonts w:ascii="Times New Roman" w:hAnsi="Times New Roman"/>
          <w:sz w:val="22"/>
          <w:szCs w:val="22"/>
        </w:rPr>
      </w:pPr>
      <w:r w:rsidRPr="008678A0">
        <w:rPr>
          <w:rFonts w:ascii="Times New Roman" w:hAnsi="Times New Roman"/>
          <w:sz w:val="22"/>
          <w:szCs w:val="22"/>
        </w:rPr>
        <w:t>___ Harvest aids</w:t>
      </w:r>
    </w:p>
    <w:p w14:paraId="428966D8" w14:textId="77777777" w:rsidR="008678A0" w:rsidRPr="008678A0" w:rsidRDefault="008678A0" w:rsidP="00691716">
      <w:pPr>
        <w:widowControl w:val="0"/>
        <w:spacing w:after="0"/>
        <w:rPr>
          <w:rFonts w:ascii="Times New Roman" w:hAnsi="Times New Roman"/>
          <w:sz w:val="22"/>
          <w:szCs w:val="22"/>
        </w:rPr>
      </w:pPr>
      <w:r w:rsidRPr="008678A0">
        <w:rPr>
          <w:rFonts w:ascii="Times New Roman" w:hAnsi="Times New Roman"/>
          <w:sz w:val="22"/>
          <w:szCs w:val="22"/>
        </w:rPr>
        <w:t>___ Iron Chlorosis</w:t>
      </w:r>
    </w:p>
    <w:p w14:paraId="2C3B439D" w14:textId="77777777" w:rsidR="008678A0" w:rsidRPr="008678A0" w:rsidRDefault="008678A0" w:rsidP="00691716">
      <w:pPr>
        <w:widowControl w:val="0"/>
        <w:spacing w:after="0"/>
        <w:rPr>
          <w:rFonts w:ascii="Times New Roman" w:hAnsi="Times New Roman"/>
          <w:sz w:val="22"/>
          <w:szCs w:val="22"/>
        </w:rPr>
      </w:pPr>
      <w:r w:rsidRPr="008678A0">
        <w:rPr>
          <w:rFonts w:ascii="Times New Roman" w:hAnsi="Times New Roman"/>
          <w:sz w:val="22"/>
          <w:szCs w:val="22"/>
        </w:rPr>
        <w:t>___ Nematode management/control</w:t>
      </w:r>
    </w:p>
    <w:p w14:paraId="789D9B06" w14:textId="77777777" w:rsidR="008678A0" w:rsidRPr="008678A0" w:rsidRDefault="008678A0" w:rsidP="00691716">
      <w:pPr>
        <w:widowControl w:val="0"/>
        <w:spacing w:after="0"/>
        <w:rPr>
          <w:rFonts w:ascii="Times New Roman" w:hAnsi="Times New Roman"/>
          <w:sz w:val="22"/>
          <w:szCs w:val="22"/>
        </w:rPr>
      </w:pPr>
      <w:r w:rsidRPr="008678A0">
        <w:rPr>
          <w:rFonts w:ascii="Times New Roman" w:hAnsi="Times New Roman"/>
          <w:sz w:val="22"/>
          <w:szCs w:val="22"/>
        </w:rPr>
        <w:t>___ Rotations using soybeans</w:t>
      </w:r>
    </w:p>
    <w:p w14:paraId="51512FD6" w14:textId="77777777" w:rsidR="008678A0" w:rsidRPr="008678A0" w:rsidRDefault="008678A0" w:rsidP="00691716">
      <w:pPr>
        <w:widowControl w:val="0"/>
        <w:spacing w:after="0"/>
        <w:rPr>
          <w:rFonts w:ascii="Times New Roman" w:hAnsi="Times New Roman"/>
          <w:sz w:val="22"/>
          <w:szCs w:val="22"/>
        </w:rPr>
      </w:pPr>
      <w:r w:rsidRPr="008678A0">
        <w:rPr>
          <w:rFonts w:ascii="Times New Roman" w:hAnsi="Times New Roman"/>
          <w:sz w:val="22"/>
          <w:szCs w:val="22"/>
        </w:rPr>
        <w:t>_</w:t>
      </w:r>
      <w:r w:rsidR="00FE149C" w:rsidRPr="00FE149C">
        <w:rPr>
          <w:rFonts w:ascii="Times New Roman" w:hAnsi="Times New Roman"/>
          <w:sz w:val="22"/>
          <w:szCs w:val="22"/>
          <w:u w:val="single"/>
        </w:rPr>
        <w:t>x</w:t>
      </w:r>
      <w:r w:rsidR="0008619F">
        <w:rPr>
          <w:rFonts w:ascii="Times New Roman" w:hAnsi="Times New Roman"/>
          <w:sz w:val="22"/>
          <w:szCs w:val="22"/>
        </w:rPr>
        <w:t>_</w:t>
      </w:r>
      <w:r w:rsidRPr="008678A0">
        <w:rPr>
          <w:rFonts w:ascii="Times New Roman" w:hAnsi="Times New Roman"/>
          <w:sz w:val="22"/>
          <w:szCs w:val="22"/>
        </w:rPr>
        <w:t xml:space="preserve"> Research Validation or Demonstration</w:t>
      </w:r>
    </w:p>
    <w:p w14:paraId="32A50BEB" w14:textId="77777777" w:rsidR="008678A0" w:rsidRPr="008678A0" w:rsidRDefault="008678A0" w:rsidP="00691716">
      <w:pPr>
        <w:widowControl w:val="0"/>
        <w:spacing w:after="0"/>
        <w:rPr>
          <w:rFonts w:ascii="Times New Roman" w:hAnsi="Times New Roman"/>
          <w:sz w:val="22"/>
          <w:szCs w:val="22"/>
        </w:rPr>
      </w:pPr>
      <w:r w:rsidRPr="008678A0">
        <w:rPr>
          <w:rFonts w:ascii="Times New Roman" w:hAnsi="Times New Roman"/>
          <w:sz w:val="22"/>
          <w:szCs w:val="22"/>
        </w:rPr>
        <w:t>_</w:t>
      </w:r>
      <w:r w:rsidR="003F1861" w:rsidRPr="003F1861">
        <w:rPr>
          <w:rFonts w:ascii="Times New Roman" w:hAnsi="Times New Roman"/>
          <w:sz w:val="22"/>
          <w:szCs w:val="22"/>
          <w:u w:val="single"/>
        </w:rPr>
        <w:t>x</w:t>
      </w:r>
      <w:r w:rsidR="00E16568">
        <w:rPr>
          <w:rFonts w:ascii="Times New Roman" w:hAnsi="Times New Roman"/>
          <w:sz w:val="22"/>
          <w:szCs w:val="22"/>
        </w:rPr>
        <w:t>_</w:t>
      </w:r>
      <w:r w:rsidRPr="008678A0">
        <w:rPr>
          <w:rFonts w:ascii="Times New Roman" w:hAnsi="Times New Roman"/>
          <w:sz w:val="22"/>
          <w:szCs w:val="22"/>
        </w:rPr>
        <w:t xml:space="preserve"> Producer Communications</w:t>
      </w:r>
    </w:p>
    <w:p w14:paraId="00C714C9" w14:textId="77777777" w:rsidR="008678A0" w:rsidRPr="008678A0" w:rsidRDefault="008678A0" w:rsidP="00691716">
      <w:pPr>
        <w:widowControl w:val="0"/>
        <w:spacing w:after="0"/>
        <w:rPr>
          <w:rFonts w:ascii="Times New Roman" w:hAnsi="Times New Roman"/>
          <w:sz w:val="22"/>
          <w:szCs w:val="22"/>
        </w:rPr>
      </w:pPr>
      <w:r w:rsidRPr="008678A0">
        <w:rPr>
          <w:rFonts w:ascii="Times New Roman" w:hAnsi="Times New Roman"/>
          <w:sz w:val="22"/>
          <w:szCs w:val="22"/>
        </w:rPr>
        <w:t>_</w:t>
      </w:r>
      <w:r w:rsidR="0008619F" w:rsidRPr="0008619F">
        <w:rPr>
          <w:rFonts w:ascii="Times New Roman" w:hAnsi="Times New Roman"/>
          <w:sz w:val="22"/>
          <w:szCs w:val="22"/>
          <w:u w:val="single"/>
        </w:rPr>
        <w:t>x</w:t>
      </w:r>
      <w:r w:rsidR="0008619F">
        <w:rPr>
          <w:rFonts w:ascii="Times New Roman" w:hAnsi="Times New Roman"/>
          <w:sz w:val="22"/>
          <w:szCs w:val="22"/>
        </w:rPr>
        <w:t>_</w:t>
      </w:r>
      <w:r w:rsidRPr="008678A0">
        <w:rPr>
          <w:rFonts w:ascii="Times New Roman" w:hAnsi="Times New Roman"/>
          <w:sz w:val="22"/>
          <w:szCs w:val="22"/>
        </w:rPr>
        <w:t xml:space="preserve"> Variety Trials</w:t>
      </w:r>
    </w:p>
    <w:p w14:paraId="70751166" w14:textId="77777777" w:rsidR="008678A0" w:rsidRPr="008678A0" w:rsidRDefault="008678A0" w:rsidP="00691716">
      <w:pPr>
        <w:widowControl w:val="0"/>
        <w:spacing w:after="0"/>
        <w:rPr>
          <w:rFonts w:ascii="Times New Roman" w:hAnsi="Times New Roman"/>
          <w:sz w:val="22"/>
          <w:szCs w:val="22"/>
        </w:rPr>
      </w:pPr>
      <w:r w:rsidRPr="008678A0">
        <w:rPr>
          <w:rFonts w:ascii="Times New Roman" w:hAnsi="Times New Roman"/>
          <w:sz w:val="22"/>
          <w:szCs w:val="22"/>
        </w:rPr>
        <w:t>_</w:t>
      </w:r>
      <w:r w:rsidR="00E16568" w:rsidRPr="00E16568">
        <w:rPr>
          <w:rFonts w:ascii="Times New Roman" w:hAnsi="Times New Roman"/>
          <w:sz w:val="22"/>
          <w:szCs w:val="22"/>
          <w:u w:val="single"/>
        </w:rPr>
        <w:t>x</w:t>
      </w:r>
      <w:r w:rsidR="00E16568">
        <w:rPr>
          <w:rFonts w:ascii="Times New Roman" w:hAnsi="Times New Roman"/>
          <w:sz w:val="22"/>
          <w:szCs w:val="22"/>
        </w:rPr>
        <w:t>_</w:t>
      </w:r>
      <w:r w:rsidRPr="008678A0">
        <w:rPr>
          <w:rFonts w:ascii="Times New Roman" w:hAnsi="Times New Roman"/>
          <w:sz w:val="22"/>
          <w:szCs w:val="22"/>
        </w:rPr>
        <w:t xml:space="preserve"> Economics</w:t>
      </w:r>
    </w:p>
    <w:p w14:paraId="5629609A" w14:textId="77777777" w:rsidR="008678A0" w:rsidRPr="008678A0" w:rsidRDefault="008678A0" w:rsidP="00691716">
      <w:pPr>
        <w:widowControl w:val="0"/>
        <w:spacing w:after="0"/>
        <w:rPr>
          <w:rFonts w:ascii="Times New Roman" w:hAnsi="Times New Roman"/>
          <w:sz w:val="22"/>
          <w:szCs w:val="22"/>
        </w:rPr>
      </w:pPr>
      <w:r w:rsidRPr="008678A0">
        <w:rPr>
          <w:rFonts w:ascii="Times New Roman" w:hAnsi="Times New Roman"/>
          <w:sz w:val="22"/>
          <w:szCs w:val="22"/>
        </w:rPr>
        <w:t>___ Other (</w:t>
      </w:r>
      <w:r w:rsidRPr="008678A0">
        <w:rPr>
          <w:rFonts w:ascii="Times New Roman" w:hAnsi="Times New Roman"/>
          <w:i/>
          <w:sz w:val="22"/>
          <w:szCs w:val="22"/>
        </w:rPr>
        <w:t>Identify</w:t>
      </w:r>
      <w:r w:rsidRPr="008678A0">
        <w:rPr>
          <w:rFonts w:ascii="Times New Roman" w:hAnsi="Times New Roman"/>
          <w:sz w:val="22"/>
          <w:szCs w:val="22"/>
        </w:rPr>
        <w:t>)</w:t>
      </w:r>
    </w:p>
    <w:p w14:paraId="0C6BE491" w14:textId="77777777" w:rsidR="008678A0" w:rsidRPr="008678A0" w:rsidRDefault="008678A0" w:rsidP="00691716">
      <w:pPr>
        <w:widowControl w:val="0"/>
        <w:spacing w:after="0"/>
        <w:rPr>
          <w:rFonts w:ascii="Times New Roman" w:hAnsi="Times New Roman"/>
          <w:sz w:val="22"/>
          <w:szCs w:val="22"/>
        </w:rPr>
      </w:pPr>
    </w:p>
    <w:p w14:paraId="222C4261" w14:textId="77777777" w:rsidR="008678A0" w:rsidRPr="008678A0" w:rsidRDefault="008678A0" w:rsidP="00691716">
      <w:pPr>
        <w:widowControl w:val="0"/>
        <w:spacing w:after="0"/>
        <w:rPr>
          <w:rFonts w:ascii="Times New Roman" w:hAnsi="Times New Roman"/>
          <w:sz w:val="22"/>
          <w:szCs w:val="22"/>
        </w:rPr>
      </w:pPr>
      <w:r w:rsidRPr="008678A0">
        <w:rPr>
          <w:rFonts w:ascii="Times New Roman" w:hAnsi="Times New Roman"/>
          <w:b/>
          <w:sz w:val="22"/>
          <w:szCs w:val="22"/>
        </w:rPr>
        <w:t>PROJECT STATUS:</w:t>
      </w:r>
      <w:r w:rsidRPr="008678A0">
        <w:rPr>
          <w:rFonts w:ascii="Times New Roman" w:hAnsi="Times New Roman"/>
          <w:sz w:val="22"/>
          <w:szCs w:val="22"/>
        </w:rPr>
        <w:t xml:space="preserve"> </w:t>
      </w:r>
    </w:p>
    <w:p w14:paraId="16FB4374" w14:textId="77777777" w:rsidR="008678A0" w:rsidRPr="008678A0" w:rsidRDefault="008678A0" w:rsidP="00691716">
      <w:pPr>
        <w:widowControl w:val="0"/>
        <w:spacing w:after="0"/>
        <w:rPr>
          <w:rFonts w:ascii="Times New Roman" w:hAnsi="Times New Roman"/>
          <w:sz w:val="22"/>
          <w:szCs w:val="22"/>
        </w:rPr>
      </w:pPr>
    </w:p>
    <w:p w14:paraId="4057862B" w14:textId="77777777" w:rsidR="008678A0" w:rsidRPr="008678A0" w:rsidRDefault="008678A0" w:rsidP="00691716">
      <w:pPr>
        <w:widowControl w:val="0"/>
        <w:spacing w:after="0"/>
        <w:rPr>
          <w:rFonts w:ascii="Times New Roman" w:hAnsi="Times New Roman"/>
          <w:i/>
          <w:sz w:val="22"/>
          <w:szCs w:val="22"/>
        </w:rPr>
      </w:pPr>
      <w:r w:rsidRPr="008678A0">
        <w:rPr>
          <w:rFonts w:ascii="Times New Roman" w:hAnsi="Times New Roman"/>
          <w:sz w:val="22"/>
          <w:szCs w:val="22"/>
        </w:rPr>
        <w:t>New __</w:t>
      </w:r>
      <w:r w:rsidR="00FE149C" w:rsidRPr="00FE149C">
        <w:rPr>
          <w:rFonts w:ascii="Times New Roman" w:hAnsi="Times New Roman"/>
          <w:sz w:val="22"/>
          <w:szCs w:val="22"/>
          <w:u w:val="single"/>
        </w:rPr>
        <w:t>x</w:t>
      </w:r>
      <w:r w:rsidRPr="008678A0">
        <w:rPr>
          <w:rFonts w:ascii="Times New Roman" w:hAnsi="Times New Roman"/>
          <w:sz w:val="22"/>
          <w:szCs w:val="22"/>
        </w:rPr>
        <w:t xml:space="preserve">__ </w:t>
      </w:r>
      <w:r w:rsidR="00BB7B2C">
        <w:rPr>
          <w:rFonts w:ascii="Times New Roman" w:hAnsi="Times New Roman"/>
          <w:i/>
          <w:sz w:val="22"/>
          <w:szCs w:val="22"/>
        </w:rPr>
        <w:t>(1 of 3</w:t>
      </w:r>
      <w:r w:rsidRPr="008678A0">
        <w:rPr>
          <w:rFonts w:ascii="Times New Roman" w:hAnsi="Times New Roman"/>
          <w:i/>
          <w:sz w:val="22"/>
          <w:szCs w:val="22"/>
        </w:rPr>
        <w:t>)</w:t>
      </w:r>
    </w:p>
    <w:p w14:paraId="78C2EEF8" w14:textId="77777777" w:rsidR="008678A0" w:rsidRPr="008678A0" w:rsidRDefault="008678A0" w:rsidP="00691716">
      <w:pPr>
        <w:widowControl w:val="0"/>
        <w:spacing w:after="0"/>
        <w:rPr>
          <w:rFonts w:ascii="Times New Roman" w:hAnsi="Times New Roman"/>
          <w:sz w:val="22"/>
          <w:szCs w:val="22"/>
        </w:rPr>
      </w:pPr>
    </w:p>
    <w:p w14:paraId="695687A4" w14:textId="77777777" w:rsidR="008678A0" w:rsidRPr="008678A0" w:rsidRDefault="008678A0" w:rsidP="00691716">
      <w:pPr>
        <w:widowControl w:val="0"/>
        <w:spacing w:after="0"/>
        <w:rPr>
          <w:rFonts w:ascii="Times New Roman" w:hAnsi="Times New Roman"/>
          <w:sz w:val="22"/>
          <w:szCs w:val="22"/>
        </w:rPr>
      </w:pPr>
      <w:r w:rsidRPr="008678A0">
        <w:rPr>
          <w:rFonts w:ascii="Times New Roman" w:hAnsi="Times New Roman"/>
          <w:sz w:val="22"/>
          <w:szCs w:val="22"/>
        </w:rPr>
        <w:t>Renewal ____</w:t>
      </w:r>
      <w:proofErr w:type="gramStart"/>
      <w:r w:rsidR="009803C2">
        <w:rPr>
          <w:rFonts w:ascii="Times New Roman" w:hAnsi="Times New Roman"/>
          <w:sz w:val="22"/>
          <w:szCs w:val="22"/>
        </w:rPr>
        <w:t xml:space="preserve">  </w:t>
      </w:r>
      <w:r w:rsidR="009F1872">
        <w:rPr>
          <w:rFonts w:ascii="Times New Roman" w:hAnsi="Times New Roman"/>
          <w:sz w:val="22"/>
          <w:szCs w:val="22"/>
        </w:rPr>
        <w:t xml:space="preserve"> (</w:t>
      </w:r>
      <w:proofErr w:type="gramEnd"/>
      <w:r w:rsidR="009F1872">
        <w:rPr>
          <w:rFonts w:ascii="Times New Roman" w:hAnsi="Times New Roman"/>
          <w:sz w:val="22"/>
          <w:szCs w:val="22"/>
        </w:rPr>
        <w:t xml:space="preserve">Year    of     </w:t>
      </w:r>
      <w:r w:rsidR="009803C2">
        <w:rPr>
          <w:rFonts w:ascii="Times New Roman" w:hAnsi="Times New Roman"/>
          <w:sz w:val="22"/>
          <w:szCs w:val="22"/>
        </w:rPr>
        <w:t xml:space="preserve"> )</w:t>
      </w:r>
    </w:p>
    <w:p w14:paraId="379E9FFB" w14:textId="77777777" w:rsidR="008678A0" w:rsidRPr="008678A0" w:rsidRDefault="008678A0" w:rsidP="00691716">
      <w:pPr>
        <w:widowControl w:val="0"/>
        <w:spacing w:after="0"/>
        <w:rPr>
          <w:rFonts w:ascii="Times New Roman" w:hAnsi="Times New Roman"/>
          <w:sz w:val="22"/>
          <w:szCs w:val="22"/>
        </w:rPr>
      </w:pPr>
    </w:p>
    <w:p w14:paraId="5B6C2E42" w14:textId="77777777" w:rsidR="008678A0" w:rsidRPr="008678A0" w:rsidRDefault="008678A0" w:rsidP="00691716">
      <w:pPr>
        <w:widowControl w:val="0"/>
        <w:spacing w:after="0"/>
        <w:rPr>
          <w:rFonts w:ascii="Times New Roman" w:hAnsi="Times New Roman"/>
          <w:sz w:val="22"/>
          <w:szCs w:val="22"/>
        </w:rPr>
      </w:pPr>
      <w:r w:rsidRPr="008678A0">
        <w:rPr>
          <w:rFonts w:ascii="Times New Roman" w:hAnsi="Times New Roman"/>
          <w:sz w:val="22"/>
          <w:szCs w:val="22"/>
        </w:rPr>
        <w:t>Stand alone _</w:t>
      </w:r>
      <w:r w:rsidR="00BB7B2C" w:rsidRPr="00BB7B2C">
        <w:rPr>
          <w:rFonts w:ascii="Times New Roman" w:hAnsi="Times New Roman"/>
          <w:sz w:val="22"/>
          <w:szCs w:val="22"/>
          <w:u w:val="single"/>
        </w:rPr>
        <w:t>x</w:t>
      </w:r>
      <w:r w:rsidRPr="008678A0">
        <w:rPr>
          <w:rFonts w:ascii="Times New Roman" w:hAnsi="Times New Roman"/>
          <w:sz w:val="22"/>
          <w:szCs w:val="22"/>
        </w:rPr>
        <w:t>_ or cross-commodity ___ (</w:t>
      </w:r>
      <w:r w:rsidRPr="008678A0">
        <w:rPr>
          <w:rFonts w:ascii="Times New Roman" w:hAnsi="Times New Roman"/>
          <w:i/>
          <w:sz w:val="22"/>
          <w:szCs w:val="22"/>
        </w:rPr>
        <w:t>additional funding from other sources?</w:t>
      </w:r>
      <w:r w:rsidRPr="008678A0">
        <w:rPr>
          <w:rFonts w:ascii="Times New Roman" w:hAnsi="Times New Roman"/>
          <w:sz w:val="22"/>
          <w:szCs w:val="22"/>
        </w:rPr>
        <w:t>)</w:t>
      </w:r>
    </w:p>
    <w:p w14:paraId="60377E27" w14:textId="77777777" w:rsidR="008678A0" w:rsidRPr="008678A0" w:rsidRDefault="008678A0" w:rsidP="00691716">
      <w:pPr>
        <w:widowControl w:val="0"/>
        <w:spacing w:after="0"/>
        <w:rPr>
          <w:rFonts w:ascii="Times New Roman" w:hAnsi="Times New Roman"/>
          <w:sz w:val="22"/>
          <w:szCs w:val="22"/>
        </w:rPr>
      </w:pPr>
    </w:p>
    <w:p w14:paraId="4BEF98C0" w14:textId="77777777" w:rsidR="008678A0" w:rsidRPr="008678A0" w:rsidRDefault="008678A0" w:rsidP="00691716">
      <w:pPr>
        <w:widowControl w:val="0"/>
        <w:spacing w:after="0"/>
        <w:rPr>
          <w:rFonts w:ascii="Times New Roman" w:hAnsi="Times New Roman"/>
          <w:sz w:val="22"/>
          <w:szCs w:val="22"/>
        </w:rPr>
      </w:pPr>
      <w:r w:rsidRPr="008678A0">
        <w:rPr>
          <w:rFonts w:ascii="Times New Roman" w:hAnsi="Times New Roman"/>
          <w:b/>
          <w:sz w:val="22"/>
          <w:szCs w:val="22"/>
        </w:rPr>
        <w:t>201</w:t>
      </w:r>
      <w:r w:rsidR="00B060E6">
        <w:rPr>
          <w:rFonts w:ascii="Times New Roman" w:hAnsi="Times New Roman"/>
          <w:b/>
          <w:sz w:val="22"/>
          <w:szCs w:val="22"/>
        </w:rPr>
        <w:t>9</w:t>
      </w:r>
      <w:r w:rsidRPr="008678A0">
        <w:rPr>
          <w:rFonts w:ascii="Times New Roman" w:hAnsi="Times New Roman"/>
          <w:b/>
          <w:sz w:val="22"/>
          <w:szCs w:val="22"/>
        </w:rPr>
        <w:t xml:space="preserve"> FUNDING REQUEST </w:t>
      </w:r>
      <w:r w:rsidRPr="008678A0">
        <w:rPr>
          <w:rFonts w:ascii="Times New Roman" w:hAnsi="Times New Roman"/>
          <w:sz w:val="22"/>
          <w:szCs w:val="22"/>
        </w:rPr>
        <w:t>___</w:t>
      </w:r>
      <w:r w:rsidR="00EC1221">
        <w:rPr>
          <w:rFonts w:ascii="Times New Roman" w:hAnsi="Times New Roman"/>
          <w:sz w:val="22"/>
          <w:szCs w:val="22"/>
          <w:u w:val="single"/>
        </w:rPr>
        <w:t>$65,5</w:t>
      </w:r>
      <w:r w:rsidR="001E1A4F" w:rsidRPr="001E1A4F">
        <w:rPr>
          <w:rFonts w:ascii="Times New Roman" w:hAnsi="Times New Roman"/>
          <w:sz w:val="22"/>
          <w:szCs w:val="22"/>
          <w:u w:val="single"/>
        </w:rPr>
        <w:t>00</w:t>
      </w:r>
      <w:r w:rsidRPr="008678A0">
        <w:rPr>
          <w:rFonts w:ascii="Times New Roman" w:hAnsi="Times New Roman"/>
          <w:sz w:val="22"/>
          <w:szCs w:val="22"/>
        </w:rPr>
        <w:t>___</w:t>
      </w:r>
    </w:p>
    <w:p w14:paraId="41C3DDE2" w14:textId="77777777" w:rsidR="008678A0" w:rsidRPr="008678A0" w:rsidRDefault="008678A0" w:rsidP="00691716">
      <w:pPr>
        <w:widowControl w:val="0"/>
        <w:spacing w:after="0"/>
        <w:rPr>
          <w:rFonts w:ascii="Times New Roman" w:hAnsi="Times New Roman"/>
          <w:vanish/>
          <w:sz w:val="22"/>
          <w:szCs w:val="22"/>
        </w:rPr>
      </w:pPr>
      <w:r w:rsidRPr="008678A0">
        <w:rPr>
          <w:rFonts w:ascii="Times New Roman" w:hAnsi="Times New Roman"/>
          <w:sz w:val="22"/>
          <w:szCs w:val="22"/>
        </w:rPr>
        <w:br w:type="page"/>
      </w:r>
    </w:p>
    <w:tbl>
      <w:tblPr>
        <w:tblW w:w="0" w:type="auto"/>
        <w:tblInd w:w="120" w:type="dxa"/>
        <w:tblBorders>
          <w:insideH w:val="nil"/>
          <w:insideV w:val="nil"/>
        </w:tblBorders>
        <w:tblLayout w:type="fixed"/>
        <w:tblCellMar>
          <w:left w:w="101" w:type="dxa"/>
          <w:right w:w="101" w:type="dxa"/>
        </w:tblCellMar>
        <w:tblLook w:val="04A0" w:firstRow="1" w:lastRow="0" w:firstColumn="1" w:lastColumn="0" w:noHBand="0" w:noVBand="1"/>
      </w:tblPr>
      <w:tblGrid>
        <w:gridCol w:w="720"/>
        <w:gridCol w:w="3718"/>
        <w:gridCol w:w="2970"/>
        <w:gridCol w:w="2160"/>
      </w:tblGrid>
      <w:tr w:rsidR="008678A0" w:rsidRPr="008678A0" w14:paraId="0A870C40" w14:textId="77777777" w:rsidTr="00D66033">
        <w:trPr>
          <w:cantSplit/>
        </w:trPr>
        <w:tc>
          <w:tcPr>
            <w:tcW w:w="9568" w:type="dxa"/>
            <w:gridSpan w:val="4"/>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122402AB" w14:textId="77777777" w:rsidR="008678A0" w:rsidRPr="008678A0" w:rsidRDefault="008678A0" w:rsidP="00793CC7">
            <w:pPr>
              <w:widowControl w:val="0"/>
              <w:spacing w:after="0"/>
              <w:jc w:val="center"/>
              <w:rPr>
                <w:rFonts w:ascii="Times New Roman" w:hAnsi="Times New Roman"/>
                <w:sz w:val="22"/>
                <w:szCs w:val="22"/>
              </w:rPr>
            </w:pPr>
            <w:r w:rsidRPr="008678A0">
              <w:rPr>
                <w:rFonts w:ascii="Times New Roman" w:hAnsi="Times New Roman"/>
                <w:b/>
                <w:sz w:val="22"/>
                <w:szCs w:val="22"/>
              </w:rPr>
              <w:t>BUDGET FOR 201</w:t>
            </w:r>
            <w:r w:rsidR="00B060E6">
              <w:rPr>
                <w:rFonts w:ascii="Times New Roman" w:hAnsi="Times New Roman"/>
                <w:b/>
                <w:sz w:val="22"/>
                <w:szCs w:val="22"/>
              </w:rPr>
              <w:t>9</w:t>
            </w:r>
            <w:r w:rsidRPr="008678A0">
              <w:rPr>
                <w:rFonts w:ascii="Times New Roman" w:hAnsi="Times New Roman"/>
                <w:b/>
                <w:sz w:val="22"/>
                <w:szCs w:val="22"/>
              </w:rPr>
              <w:t xml:space="preserve"> </w:t>
            </w:r>
            <w:r w:rsidR="006621E7">
              <w:rPr>
                <w:rFonts w:ascii="Times New Roman" w:hAnsi="Times New Roman"/>
                <w:b/>
                <w:sz w:val="22"/>
                <w:szCs w:val="22"/>
              </w:rPr>
              <w:t xml:space="preserve">MSSB </w:t>
            </w:r>
            <w:r w:rsidRPr="008678A0">
              <w:rPr>
                <w:rFonts w:ascii="Times New Roman" w:hAnsi="Times New Roman"/>
                <w:b/>
                <w:sz w:val="22"/>
                <w:szCs w:val="22"/>
              </w:rPr>
              <w:t xml:space="preserve">RESEARCH PROJECT </w:t>
            </w:r>
          </w:p>
        </w:tc>
      </w:tr>
      <w:tr w:rsidR="0095152D" w:rsidRPr="008678A0" w14:paraId="6F62B2D6" w14:textId="77777777" w:rsidTr="00793CC7">
        <w:trPr>
          <w:cantSplit/>
        </w:trPr>
        <w:tc>
          <w:tcPr>
            <w:tcW w:w="4438" w:type="dxa"/>
            <w:gridSpan w:val="2"/>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79EDBA94" w14:textId="77777777" w:rsidR="0095152D" w:rsidRPr="008678A0" w:rsidRDefault="0095152D" w:rsidP="00691716">
            <w:pPr>
              <w:widowControl w:val="0"/>
              <w:spacing w:after="0"/>
              <w:rPr>
                <w:rFonts w:ascii="Times New Roman" w:hAnsi="Times New Roman"/>
                <w:sz w:val="22"/>
                <w:szCs w:val="22"/>
              </w:rPr>
            </w:pPr>
            <w:r w:rsidRPr="008678A0">
              <w:rPr>
                <w:rFonts w:ascii="Times New Roman" w:hAnsi="Times New Roman"/>
                <w:sz w:val="22"/>
                <w:szCs w:val="22"/>
              </w:rPr>
              <w:t xml:space="preserve">CATEGORY </w:t>
            </w:r>
            <w:r w:rsidRPr="008678A0">
              <w:rPr>
                <w:rFonts w:ascii="Times New Roman" w:hAnsi="Times New Roman"/>
                <w:i/>
                <w:sz w:val="22"/>
                <w:szCs w:val="22"/>
              </w:rPr>
              <w:t>(see below for guidelines)</w:t>
            </w:r>
          </w:p>
        </w:tc>
        <w:tc>
          <w:tcPr>
            <w:tcW w:w="297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301BBCF9" w14:textId="77777777" w:rsidR="0095152D" w:rsidRPr="008678A0" w:rsidRDefault="003A2766" w:rsidP="00691716">
            <w:pPr>
              <w:widowControl w:val="0"/>
              <w:spacing w:after="0"/>
              <w:jc w:val="center"/>
              <w:rPr>
                <w:rFonts w:ascii="Times New Roman" w:hAnsi="Times New Roman"/>
                <w:sz w:val="22"/>
                <w:szCs w:val="22"/>
              </w:rPr>
            </w:pPr>
            <w:r>
              <w:rPr>
                <w:rFonts w:ascii="Times New Roman" w:hAnsi="Times New Roman"/>
                <w:sz w:val="22"/>
                <w:szCs w:val="22"/>
              </w:rPr>
              <w:t>ORIGINAL</w:t>
            </w:r>
          </w:p>
        </w:tc>
        <w:tc>
          <w:tcPr>
            <w:tcW w:w="216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332D6404" w14:textId="77777777" w:rsidR="0095152D" w:rsidRPr="008678A0" w:rsidRDefault="0095152D" w:rsidP="00691716">
            <w:pPr>
              <w:widowControl w:val="0"/>
              <w:spacing w:after="0"/>
              <w:jc w:val="center"/>
              <w:rPr>
                <w:rFonts w:ascii="Times New Roman" w:hAnsi="Times New Roman"/>
                <w:sz w:val="22"/>
                <w:szCs w:val="22"/>
              </w:rPr>
            </w:pPr>
          </w:p>
        </w:tc>
      </w:tr>
      <w:tr w:rsidR="0095152D" w:rsidRPr="008678A0" w14:paraId="54628042" w14:textId="77777777" w:rsidTr="00793CC7">
        <w:trPr>
          <w:cantSplit/>
        </w:trPr>
        <w:tc>
          <w:tcPr>
            <w:tcW w:w="72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38739D3A" w14:textId="77777777" w:rsidR="0095152D" w:rsidRPr="008678A0" w:rsidRDefault="0095152D" w:rsidP="00691716">
            <w:pPr>
              <w:widowControl w:val="0"/>
              <w:spacing w:after="0"/>
              <w:rPr>
                <w:rFonts w:ascii="Times New Roman" w:hAnsi="Times New Roman"/>
                <w:sz w:val="22"/>
                <w:szCs w:val="22"/>
              </w:rPr>
            </w:pPr>
            <w:r w:rsidRPr="008678A0">
              <w:rPr>
                <w:rFonts w:ascii="Times New Roman" w:hAnsi="Times New Roman"/>
                <w:sz w:val="22"/>
                <w:szCs w:val="22"/>
              </w:rPr>
              <w:t>A.</w:t>
            </w:r>
          </w:p>
        </w:tc>
        <w:tc>
          <w:tcPr>
            <w:tcW w:w="3718"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466379AF" w14:textId="77777777" w:rsidR="0095152D" w:rsidRPr="008678A0" w:rsidRDefault="0095152D" w:rsidP="00691716">
            <w:pPr>
              <w:widowControl w:val="0"/>
              <w:spacing w:after="0"/>
              <w:rPr>
                <w:rFonts w:ascii="Times New Roman" w:hAnsi="Times New Roman"/>
                <w:sz w:val="22"/>
                <w:szCs w:val="22"/>
              </w:rPr>
            </w:pPr>
            <w:r w:rsidRPr="008678A0">
              <w:rPr>
                <w:rFonts w:ascii="Times New Roman" w:hAnsi="Times New Roman"/>
                <w:sz w:val="22"/>
                <w:szCs w:val="22"/>
              </w:rPr>
              <w:t>Personnel (No Permanent Salaries)</w:t>
            </w:r>
          </w:p>
        </w:tc>
        <w:tc>
          <w:tcPr>
            <w:tcW w:w="2970" w:type="dxa"/>
            <w:tcBorders>
              <w:top w:val="single" w:sz="4" w:space="0" w:color="auto"/>
              <w:left w:val="single" w:sz="4" w:space="0" w:color="auto"/>
              <w:bottom w:val="single" w:sz="4" w:space="0" w:color="auto"/>
              <w:right w:val="single" w:sz="4" w:space="0" w:color="auto"/>
            </w:tcBorders>
            <w:shd w:val="clear" w:color="auto" w:fill="000000"/>
            <w:tcMar>
              <w:top w:w="58" w:type="dxa"/>
              <w:left w:w="58" w:type="dxa"/>
              <w:bottom w:w="58" w:type="dxa"/>
              <w:right w:w="58" w:type="dxa"/>
            </w:tcMar>
          </w:tcPr>
          <w:p w14:paraId="71401094" w14:textId="77777777" w:rsidR="0095152D" w:rsidRPr="008678A0" w:rsidRDefault="0095152D" w:rsidP="00691716">
            <w:pPr>
              <w:widowControl w:val="0"/>
              <w:spacing w:after="0"/>
              <w:rPr>
                <w:rFonts w:ascii="Times New Roman" w:hAnsi="Times New Roman"/>
                <w:sz w:val="22"/>
                <w:szCs w:val="22"/>
              </w:rPr>
            </w:pPr>
          </w:p>
        </w:tc>
        <w:tc>
          <w:tcPr>
            <w:tcW w:w="2160" w:type="dxa"/>
            <w:tcBorders>
              <w:top w:val="single" w:sz="4" w:space="0" w:color="auto"/>
              <w:left w:val="single" w:sz="4" w:space="0" w:color="auto"/>
              <w:bottom w:val="single" w:sz="4" w:space="0" w:color="auto"/>
              <w:right w:val="single" w:sz="4" w:space="0" w:color="auto"/>
            </w:tcBorders>
            <w:shd w:val="clear" w:color="auto" w:fill="000000"/>
            <w:tcMar>
              <w:top w:w="58" w:type="dxa"/>
              <w:left w:w="58" w:type="dxa"/>
              <w:bottom w:w="58" w:type="dxa"/>
              <w:right w:w="58" w:type="dxa"/>
            </w:tcMar>
          </w:tcPr>
          <w:p w14:paraId="41C8EE15" w14:textId="77777777" w:rsidR="0095152D" w:rsidRPr="008678A0" w:rsidRDefault="0095152D" w:rsidP="00691716">
            <w:pPr>
              <w:widowControl w:val="0"/>
              <w:spacing w:after="0"/>
              <w:rPr>
                <w:rFonts w:ascii="Times New Roman" w:hAnsi="Times New Roman"/>
                <w:sz w:val="22"/>
                <w:szCs w:val="22"/>
              </w:rPr>
            </w:pPr>
          </w:p>
        </w:tc>
      </w:tr>
      <w:tr w:rsidR="0095152D" w:rsidRPr="008678A0" w14:paraId="53DC77A0" w14:textId="77777777" w:rsidTr="00793CC7">
        <w:trPr>
          <w:cantSplit/>
        </w:trPr>
        <w:tc>
          <w:tcPr>
            <w:tcW w:w="72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61DF3BA4" w14:textId="77777777" w:rsidR="0095152D" w:rsidRPr="008678A0" w:rsidRDefault="0095152D" w:rsidP="00691716">
            <w:pPr>
              <w:widowControl w:val="0"/>
              <w:spacing w:after="0"/>
              <w:rPr>
                <w:rFonts w:ascii="Times New Roman" w:hAnsi="Times New Roman"/>
                <w:sz w:val="22"/>
                <w:szCs w:val="22"/>
              </w:rPr>
            </w:pPr>
          </w:p>
        </w:tc>
        <w:tc>
          <w:tcPr>
            <w:tcW w:w="3718"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4BFFF059" w14:textId="77777777" w:rsidR="0095152D" w:rsidRPr="008678A0" w:rsidRDefault="0095152D" w:rsidP="00691716">
            <w:pPr>
              <w:widowControl w:val="0"/>
              <w:spacing w:after="0"/>
              <w:rPr>
                <w:rFonts w:ascii="Times New Roman" w:hAnsi="Times New Roman"/>
                <w:sz w:val="22"/>
                <w:szCs w:val="22"/>
              </w:rPr>
            </w:pPr>
            <w:r w:rsidRPr="008678A0">
              <w:rPr>
                <w:rFonts w:ascii="Times New Roman" w:hAnsi="Times New Roman"/>
                <w:sz w:val="22"/>
                <w:szCs w:val="22"/>
              </w:rPr>
              <w:t>1.  Salaries (See Addendum B)</w:t>
            </w:r>
          </w:p>
        </w:tc>
        <w:tc>
          <w:tcPr>
            <w:tcW w:w="297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34B46425" w14:textId="77777777" w:rsidR="0095152D" w:rsidRPr="008678A0" w:rsidRDefault="0095152D" w:rsidP="00691716">
            <w:pPr>
              <w:widowControl w:val="0"/>
              <w:spacing w:after="0"/>
              <w:rPr>
                <w:rFonts w:ascii="Times New Roman" w:hAnsi="Times New Roman"/>
                <w:sz w:val="22"/>
                <w:szCs w:val="22"/>
              </w:rPr>
            </w:pPr>
          </w:p>
        </w:tc>
        <w:tc>
          <w:tcPr>
            <w:tcW w:w="216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0772A2CE" w14:textId="77777777" w:rsidR="0095152D" w:rsidRPr="008678A0" w:rsidRDefault="0095152D" w:rsidP="00691716">
            <w:pPr>
              <w:widowControl w:val="0"/>
              <w:spacing w:after="0"/>
              <w:rPr>
                <w:rFonts w:ascii="Times New Roman" w:hAnsi="Times New Roman"/>
                <w:sz w:val="22"/>
                <w:szCs w:val="22"/>
              </w:rPr>
            </w:pPr>
          </w:p>
        </w:tc>
      </w:tr>
      <w:tr w:rsidR="0095152D" w:rsidRPr="008678A0" w14:paraId="02A871F2" w14:textId="77777777" w:rsidTr="00793CC7">
        <w:trPr>
          <w:cantSplit/>
        </w:trPr>
        <w:tc>
          <w:tcPr>
            <w:tcW w:w="72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4BE61735" w14:textId="77777777" w:rsidR="0095152D" w:rsidRPr="008678A0" w:rsidRDefault="0095152D" w:rsidP="00691716">
            <w:pPr>
              <w:widowControl w:val="0"/>
              <w:spacing w:after="0"/>
              <w:rPr>
                <w:rFonts w:ascii="Times New Roman" w:hAnsi="Times New Roman"/>
                <w:sz w:val="22"/>
                <w:szCs w:val="22"/>
              </w:rPr>
            </w:pPr>
          </w:p>
        </w:tc>
        <w:tc>
          <w:tcPr>
            <w:tcW w:w="3718"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55151D2D" w14:textId="77777777" w:rsidR="0095152D" w:rsidRPr="008678A0" w:rsidRDefault="0095152D" w:rsidP="00691716">
            <w:pPr>
              <w:widowControl w:val="0"/>
              <w:spacing w:after="0"/>
              <w:rPr>
                <w:rFonts w:ascii="Times New Roman" w:hAnsi="Times New Roman"/>
                <w:sz w:val="22"/>
                <w:szCs w:val="22"/>
              </w:rPr>
            </w:pPr>
            <w:r w:rsidRPr="008678A0">
              <w:rPr>
                <w:rFonts w:ascii="Times New Roman" w:hAnsi="Times New Roman"/>
                <w:sz w:val="22"/>
                <w:szCs w:val="22"/>
              </w:rPr>
              <w:t>2.  Wages (hourly workers)</w:t>
            </w:r>
          </w:p>
        </w:tc>
        <w:tc>
          <w:tcPr>
            <w:tcW w:w="297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260D27C8" w14:textId="77777777" w:rsidR="0095152D" w:rsidRPr="008678A0" w:rsidRDefault="00CD7A97" w:rsidP="00691716">
            <w:pPr>
              <w:widowControl w:val="0"/>
              <w:spacing w:after="0"/>
              <w:rPr>
                <w:rFonts w:ascii="Times New Roman" w:hAnsi="Times New Roman"/>
                <w:sz w:val="22"/>
                <w:szCs w:val="22"/>
              </w:rPr>
            </w:pPr>
            <w:r>
              <w:rPr>
                <w:rFonts w:ascii="Times New Roman" w:hAnsi="Times New Roman"/>
                <w:sz w:val="22"/>
                <w:szCs w:val="22"/>
              </w:rPr>
              <w:t>$19</w:t>
            </w:r>
            <w:r w:rsidR="005B129B">
              <w:rPr>
                <w:rFonts w:ascii="Times New Roman" w:hAnsi="Times New Roman"/>
                <w:sz w:val="22"/>
                <w:szCs w:val="22"/>
              </w:rPr>
              <w:t>,500</w:t>
            </w:r>
          </w:p>
        </w:tc>
        <w:tc>
          <w:tcPr>
            <w:tcW w:w="216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61BBF4BA" w14:textId="77777777" w:rsidR="0095152D" w:rsidRPr="008678A0" w:rsidRDefault="0095152D" w:rsidP="00691716">
            <w:pPr>
              <w:widowControl w:val="0"/>
              <w:spacing w:after="0"/>
              <w:rPr>
                <w:rFonts w:ascii="Times New Roman" w:hAnsi="Times New Roman"/>
                <w:sz w:val="22"/>
                <w:szCs w:val="22"/>
              </w:rPr>
            </w:pPr>
          </w:p>
        </w:tc>
      </w:tr>
      <w:tr w:rsidR="0095152D" w:rsidRPr="008678A0" w14:paraId="5A1903E1" w14:textId="77777777" w:rsidTr="00793CC7">
        <w:trPr>
          <w:cantSplit/>
        </w:trPr>
        <w:tc>
          <w:tcPr>
            <w:tcW w:w="72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1327F362" w14:textId="77777777" w:rsidR="0095152D" w:rsidRPr="008678A0" w:rsidRDefault="0095152D" w:rsidP="00691716">
            <w:pPr>
              <w:widowControl w:val="0"/>
              <w:spacing w:after="0"/>
              <w:rPr>
                <w:rFonts w:ascii="Times New Roman" w:hAnsi="Times New Roman"/>
                <w:sz w:val="22"/>
                <w:szCs w:val="22"/>
              </w:rPr>
            </w:pPr>
          </w:p>
        </w:tc>
        <w:tc>
          <w:tcPr>
            <w:tcW w:w="3718"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7EB0BF5B" w14:textId="77777777" w:rsidR="0095152D" w:rsidRPr="008678A0" w:rsidRDefault="0095152D" w:rsidP="00691716">
            <w:pPr>
              <w:widowControl w:val="0"/>
              <w:spacing w:after="0"/>
              <w:rPr>
                <w:rFonts w:ascii="Times New Roman" w:hAnsi="Times New Roman"/>
                <w:sz w:val="22"/>
                <w:szCs w:val="22"/>
              </w:rPr>
            </w:pPr>
            <w:r w:rsidRPr="008678A0">
              <w:rPr>
                <w:rFonts w:ascii="Times New Roman" w:hAnsi="Times New Roman"/>
                <w:sz w:val="22"/>
                <w:szCs w:val="22"/>
              </w:rPr>
              <w:t>3.  GRA (include tuition)</w:t>
            </w:r>
          </w:p>
        </w:tc>
        <w:tc>
          <w:tcPr>
            <w:tcW w:w="297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5DAA0536" w14:textId="77777777" w:rsidR="0095152D" w:rsidRPr="008678A0" w:rsidRDefault="00CD7A97" w:rsidP="00691716">
            <w:pPr>
              <w:widowControl w:val="0"/>
              <w:spacing w:after="0"/>
              <w:rPr>
                <w:rFonts w:ascii="Times New Roman" w:hAnsi="Times New Roman"/>
                <w:sz w:val="22"/>
                <w:szCs w:val="22"/>
              </w:rPr>
            </w:pPr>
            <w:r>
              <w:rPr>
                <w:rFonts w:ascii="Times New Roman" w:hAnsi="Times New Roman"/>
                <w:sz w:val="22"/>
                <w:szCs w:val="22"/>
              </w:rPr>
              <w:t>$34</w:t>
            </w:r>
            <w:r w:rsidR="005B129B">
              <w:rPr>
                <w:rFonts w:ascii="Times New Roman" w:hAnsi="Times New Roman"/>
                <w:sz w:val="22"/>
                <w:szCs w:val="22"/>
              </w:rPr>
              <w:t>,500</w:t>
            </w:r>
          </w:p>
        </w:tc>
        <w:tc>
          <w:tcPr>
            <w:tcW w:w="216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5E96CBE5" w14:textId="77777777" w:rsidR="0095152D" w:rsidRPr="008678A0" w:rsidRDefault="0095152D" w:rsidP="00691716">
            <w:pPr>
              <w:widowControl w:val="0"/>
              <w:spacing w:after="0"/>
              <w:rPr>
                <w:rFonts w:ascii="Times New Roman" w:hAnsi="Times New Roman"/>
                <w:sz w:val="22"/>
                <w:szCs w:val="22"/>
              </w:rPr>
            </w:pPr>
          </w:p>
        </w:tc>
      </w:tr>
      <w:tr w:rsidR="0095152D" w:rsidRPr="008678A0" w14:paraId="3D8AA922" w14:textId="77777777" w:rsidTr="00793CC7">
        <w:trPr>
          <w:cantSplit/>
        </w:trPr>
        <w:tc>
          <w:tcPr>
            <w:tcW w:w="72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0CB6B9F7" w14:textId="77777777" w:rsidR="0095152D" w:rsidRPr="008678A0" w:rsidRDefault="0095152D" w:rsidP="00691716">
            <w:pPr>
              <w:widowControl w:val="0"/>
              <w:spacing w:after="0"/>
              <w:rPr>
                <w:rFonts w:ascii="Times New Roman" w:hAnsi="Times New Roman"/>
                <w:sz w:val="22"/>
                <w:szCs w:val="22"/>
              </w:rPr>
            </w:pPr>
            <w:r w:rsidRPr="008678A0">
              <w:rPr>
                <w:rFonts w:ascii="Times New Roman" w:hAnsi="Times New Roman"/>
                <w:sz w:val="22"/>
                <w:szCs w:val="22"/>
              </w:rPr>
              <w:t>B.</w:t>
            </w:r>
          </w:p>
        </w:tc>
        <w:tc>
          <w:tcPr>
            <w:tcW w:w="3718"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5908E96F" w14:textId="77777777" w:rsidR="0095152D" w:rsidRPr="008678A0" w:rsidRDefault="0095152D" w:rsidP="00691716">
            <w:pPr>
              <w:widowControl w:val="0"/>
              <w:spacing w:after="0"/>
              <w:rPr>
                <w:rFonts w:ascii="Times New Roman" w:hAnsi="Times New Roman"/>
                <w:sz w:val="22"/>
                <w:szCs w:val="22"/>
              </w:rPr>
            </w:pPr>
            <w:r w:rsidRPr="008678A0">
              <w:rPr>
                <w:rFonts w:ascii="Times New Roman" w:hAnsi="Times New Roman"/>
                <w:sz w:val="22"/>
                <w:szCs w:val="22"/>
              </w:rPr>
              <w:t xml:space="preserve">Fringe Benefits (% </w:t>
            </w:r>
            <w:r w:rsidRPr="008678A0">
              <w:rPr>
                <w:rFonts w:ascii="Times New Roman" w:hAnsi="Times New Roman"/>
                <w:i/>
                <w:sz w:val="22"/>
                <w:szCs w:val="22"/>
              </w:rPr>
              <w:t>used to calculate</w:t>
            </w:r>
            <w:r w:rsidRPr="008678A0">
              <w:rPr>
                <w:rFonts w:ascii="Times New Roman" w:hAnsi="Times New Roman"/>
                <w:sz w:val="22"/>
                <w:szCs w:val="22"/>
              </w:rPr>
              <w:t>)</w:t>
            </w:r>
          </w:p>
        </w:tc>
        <w:tc>
          <w:tcPr>
            <w:tcW w:w="297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45F023B6" w14:textId="77777777" w:rsidR="0095152D" w:rsidRPr="008678A0" w:rsidRDefault="00CD7A97" w:rsidP="00691716">
            <w:pPr>
              <w:widowControl w:val="0"/>
              <w:spacing w:after="0"/>
              <w:rPr>
                <w:rFonts w:ascii="Times New Roman" w:hAnsi="Times New Roman"/>
                <w:sz w:val="22"/>
                <w:szCs w:val="22"/>
              </w:rPr>
            </w:pPr>
            <w:r>
              <w:rPr>
                <w:rFonts w:ascii="Times New Roman" w:hAnsi="Times New Roman"/>
                <w:sz w:val="22"/>
                <w:szCs w:val="22"/>
              </w:rPr>
              <w:t>$405 (7.5</w:t>
            </w:r>
            <w:r w:rsidR="005B129B">
              <w:rPr>
                <w:rFonts w:ascii="Times New Roman" w:hAnsi="Times New Roman"/>
                <w:sz w:val="22"/>
                <w:szCs w:val="22"/>
              </w:rPr>
              <w:t>%)</w:t>
            </w:r>
          </w:p>
        </w:tc>
        <w:tc>
          <w:tcPr>
            <w:tcW w:w="216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2896D589" w14:textId="77777777" w:rsidR="0095152D" w:rsidRPr="008678A0" w:rsidRDefault="0095152D" w:rsidP="00691716">
            <w:pPr>
              <w:widowControl w:val="0"/>
              <w:spacing w:after="0"/>
              <w:rPr>
                <w:rFonts w:ascii="Times New Roman" w:hAnsi="Times New Roman"/>
                <w:sz w:val="22"/>
                <w:szCs w:val="22"/>
              </w:rPr>
            </w:pPr>
          </w:p>
        </w:tc>
      </w:tr>
      <w:tr w:rsidR="0095152D" w:rsidRPr="008678A0" w14:paraId="77F3D33C" w14:textId="77777777" w:rsidTr="00793CC7">
        <w:trPr>
          <w:cantSplit/>
          <w:trHeight w:val="183"/>
        </w:trPr>
        <w:tc>
          <w:tcPr>
            <w:tcW w:w="72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0B875851" w14:textId="77777777" w:rsidR="0095152D" w:rsidRPr="008678A0" w:rsidRDefault="0095152D" w:rsidP="00691716">
            <w:pPr>
              <w:widowControl w:val="0"/>
              <w:spacing w:after="0"/>
              <w:rPr>
                <w:rFonts w:ascii="Times New Roman" w:hAnsi="Times New Roman"/>
                <w:sz w:val="22"/>
                <w:szCs w:val="22"/>
              </w:rPr>
            </w:pPr>
            <w:r w:rsidRPr="008678A0">
              <w:rPr>
                <w:rFonts w:ascii="Times New Roman" w:hAnsi="Times New Roman"/>
                <w:sz w:val="22"/>
                <w:szCs w:val="22"/>
              </w:rPr>
              <w:t>C.</w:t>
            </w:r>
          </w:p>
        </w:tc>
        <w:tc>
          <w:tcPr>
            <w:tcW w:w="3718"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6253E288" w14:textId="77777777" w:rsidR="0095152D" w:rsidRPr="008678A0" w:rsidRDefault="0095152D" w:rsidP="00691716">
            <w:pPr>
              <w:widowControl w:val="0"/>
              <w:spacing w:after="0"/>
              <w:rPr>
                <w:rFonts w:ascii="Times New Roman" w:hAnsi="Times New Roman"/>
                <w:sz w:val="22"/>
                <w:szCs w:val="22"/>
              </w:rPr>
            </w:pPr>
            <w:r w:rsidRPr="008678A0">
              <w:rPr>
                <w:rFonts w:ascii="Times New Roman" w:hAnsi="Times New Roman"/>
                <w:sz w:val="22"/>
                <w:szCs w:val="22"/>
              </w:rPr>
              <w:t>Travel</w:t>
            </w:r>
          </w:p>
        </w:tc>
        <w:tc>
          <w:tcPr>
            <w:tcW w:w="297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472663B5" w14:textId="77777777" w:rsidR="0095152D" w:rsidRPr="008678A0" w:rsidRDefault="005B129B" w:rsidP="00691716">
            <w:pPr>
              <w:widowControl w:val="0"/>
              <w:spacing w:after="0"/>
              <w:rPr>
                <w:rFonts w:ascii="Times New Roman" w:hAnsi="Times New Roman"/>
                <w:sz w:val="22"/>
                <w:szCs w:val="22"/>
              </w:rPr>
            </w:pPr>
            <w:r>
              <w:rPr>
                <w:rFonts w:ascii="Times New Roman" w:hAnsi="Times New Roman"/>
                <w:sz w:val="22"/>
                <w:szCs w:val="22"/>
              </w:rPr>
              <w:t>$3,500</w:t>
            </w:r>
          </w:p>
        </w:tc>
        <w:tc>
          <w:tcPr>
            <w:tcW w:w="216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26CBEA9A" w14:textId="77777777" w:rsidR="0095152D" w:rsidRPr="008678A0" w:rsidRDefault="0095152D" w:rsidP="00691716">
            <w:pPr>
              <w:widowControl w:val="0"/>
              <w:spacing w:after="0"/>
              <w:rPr>
                <w:rFonts w:ascii="Times New Roman" w:hAnsi="Times New Roman"/>
                <w:sz w:val="22"/>
                <w:szCs w:val="22"/>
              </w:rPr>
            </w:pPr>
          </w:p>
        </w:tc>
      </w:tr>
      <w:tr w:rsidR="0095152D" w:rsidRPr="008678A0" w14:paraId="55014AEF" w14:textId="77777777" w:rsidTr="00793CC7">
        <w:trPr>
          <w:cantSplit/>
          <w:trHeight w:val="246"/>
        </w:trPr>
        <w:tc>
          <w:tcPr>
            <w:tcW w:w="72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5FFB94F7" w14:textId="77777777" w:rsidR="0095152D" w:rsidRPr="008678A0" w:rsidRDefault="0095152D" w:rsidP="00691716">
            <w:pPr>
              <w:widowControl w:val="0"/>
              <w:spacing w:after="0"/>
              <w:rPr>
                <w:rFonts w:ascii="Times New Roman" w:hAnsi="Times New Roman"/>
                <w:sz w:val="22"/>
                <w:szCs w:val="22"/>
              </w:rPr>
            </w:pPr>
            <w:r w:rsidRPr="008678A0">
              <w:rPr>
                <w:rFonts w:ascii="Times New Roman" w:hAnsi="Times New Roman"/>
                <w:sz w:val="22"/>
                <w:szCs w:val="22"/>
              </w:rPr>
              <w:t>D.</w:t>
            </w:r>
          </w:p>
        </w:tc>
        <w:tc>
          <w:tcPr>
            <w:tcW w:w="3718"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518E9E6C" w14:textId="77777777" w:rsidR="0095152D" w:rsidRPr="008678A0" w:rsidRDefault="0095152D" w:rsidP="00691716">
            <w:pPr>
              <w:widowControl w:val="0"/>
              <w:spacing w:after="0"/>
              <w:rPr>
                <w:rFonts w:ascii="Times New Roman" w:hAnsi="Times New Roman"/>
                <w:sz w:val="22"/>
                <w:szCs w:val="22"/>
              </w:rPr>
            </w:pPr>
            <w:r w:rsidRPr="008678A0">
              <w:rPr>
                <w:rFonts w:ascii="Times New Roman" w:hAnsi="Times New Roman"/>
                <w:sz w:val="22"/>
                <w:szCs w:val="22"/>
              </w:rPr>
              <w:t>Contractual Services</w:t>
            </w:r>
          </w:p>
        </w:tc>
        <w:tc>
          <w:tcPr>
            <w:tcW w:w="297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67607524" w14:textId="77777777" w:rsidR="0095152D" w:rsidRPr="008678A0" w:rsidRDefault="0095152D" w:rsidP="00691716">
            <w:pPr>
              <w:widowControl w:val="0"/>
              <w:spacing w:after="0"/>
              <w:rPr>
                <w:rFonts w:ascii="Times New Roman" w:hAnsi="Times New Roman"/>
                <w:sz w:val="22"/>
                <w:szCs w:val="22"/>
              </w:rPr>
            </w:pPr>
          </w:p>
        </w:tc>
        <w:tc>
          <w:tcPr>
            <w:tcW w:w="216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7A7AD318" w14:textId="77777777" w:rsidR="0095152D" w:rsidRPr="008678A0" w:rsidRDefault="0095152D" w:rsidP="00691716">
            <w:pPr>
              <w:widowControl w:val="0"/>
              <w:spacing w:after="0"/>
              <w:rPr>
                <w:rFonts w:ascii="Times New Roman" w:hAnsi="Times New Roman"/>
                <w:sz w:val="22"/>
                <w:szCs w:val="22"/>
              </w:rPr>
            </w:pPr>
          </w:p>
        </w:tc>
      </w:tr>
      <w:tr w:rsidR="0095152D" w:rsidRPr="008678A0" w14:paraId="78D78C78" w14:textId="77777777" w:rsidTr="00793CC7">
        <w:trPr>
          <w:cantSplit/>
        </w:trPr>
        <w:tc>
          <w:tcPr>
            <w:tcW w:w="72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2DA49F8C" w14:textId="77777777" w:rsidR="0095152D" w:rsidRPr="008678A0" w:rsidRDefault="0095152D" w:rsidP="00691716">
            <w:pPr>
              <w:widowControl w:val="0"/>
              <w:spacing w:after="0"/>
              <w:rPr>
                <w:rFonts w:ascii="Times New Roman" w:hAnsi="Times New Roman"/>
                <w:sz w:val="22"/>
                <w:szCs w:val="22"/>
              </w:rPr>
            </w:pPr>
            <w:r w:rsidRPr="008678A0">
              <w:rPr>
                <w:rFonts w:ascii="Times New Roman" w:hAnsi="Times New Roman"/>
                <w:sz w:val="22"/>
                <w:szCs w:val="22"/>
              </w:rPr>
              <w:t>E.</w:t>
            </w:r>
          </w:p>
        </w:tc>
        <w:tc>
          <w:tcPr>
            <w:tcW w:w="3718"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1F8986D8" w14:textId="77777777" w:rsidR="0095152D" w:rsidRPr="008678A0" w:rsidRDefault="0095152D" w:rsidP="00691716">
            <w:pPr>
              <w:widowControl w:val="0"/>
              <w:spacing w:after="0"/>
              <w:rPr>
                <w:rFonts w:ascii="Times New Roman" w:hAnsi="Times New Roman"/>
                <w:sz w:val="22"/>
                <w:szCs w:val="22"/>
              </w:rPr>
            </w:pPr>
            <w:r w:rsidRPr="008678A0">
              <w:rPr>
                <w:rFonts w:ascii="Times New Roman" w:hAnsi="Times New Roman"/>
                <w:sz w:val="22"/>
                <w:szCs w:val="22"/>
              </w:rPr>
              <w:t>Subcontracts</w:t>
            </w:r>
          </w:p>
        </w:tc>
        <w:tc>
          <w:tcPr>
            <w:tcW w:w="297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7A06BCCB" w14:textId="77777777" w:rsidR="0095152D" w:rsidRPr="008678A0" w:rsidRDefault="0095152D" w:rsidP="00691716">
            <w:pPr>
              <w:widowControl w:val="0"/>
              <w:spacing w:after="0"/>
              <w:rPr>
                <w:rFonts w:ascii="Times New Roman" w:hAnsi="Times New Roman"/>
                <w:sz w:val="22"/>
                <w:szCs w:val="22"/>
              </w:rPr>
            </w:pPr>
          </w:p>
        </w:tc>
        <w:tc>
          <w:tcPr>
            <w:tcW w:w="216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6F85BE04" w14:textId="77777777" w:rsidR="0095152D" w:rsidRPr="008678A0" w:rsidRDefault="0095152D" w:rsidP="00691716">
            <w:pPr>
              <w:widowControl w:val="0"/>
              <w:spacing w:after="0"/>
              <w:rPr>
                <w:rFonts w:ascii="Times New Roman" w:hAnsi="Times New Roman"/>
                <w:sz w:val="22"/>
                <w:szCs w:val="22"/>
              </w:rPr>
            </w:pPr>
          </w:p>
        </w:tc>
      </w:tr>
      <w:tr w:rsidR="0095152D" w:rsidRPr="008678A0" w14:paraId="683BEE37" w14:textId="77777777" w:rsidTr="00793CC7">
        <w:trPr>
          <w:cantSplit/>
        </w:trPr>
        <w:tc>
          <w:tcPr>
            <w:tcW w:w="72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0034E2E4" w14:textId="77777777" w:rsidR="0095152D" w:rsidRPr="008678A0" w:rsidRDefault="0095152D" w:rsidP="00691716">
            <w:pPr>
              <w:widowControl w:val="0"/>
              <w:spacing w:after="0"/>
              <w:rPr>
                <w:rFonts w:ascii="Times New Roman" w:hAnsi="Times New Roman"/>
                <w:sz w:val="22"/>
                <w:szCs w:val="22"/>
              </w:rPr>
            </w:pPr>
            <w:r w:rsidRPr="008678A0">
              <w:rPr>
                <w:rFonts w:ascii="Times New Roman" w:hAnsi="Times New Roman"/>
                <w:sz w:val="22"/>
                <w:szCs w:val="22"/>
              </w:rPr>
              <w:t>F.</w:t>
            </w:r>
          </w:p>
        </w:tc>
        <w:tc>
          <w:tcPr>
            <w:tcW w:w="3718"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07F0EBB8" w14:textId="77777777" w:rsidR="0095152D" w:rsidRPr="008678A0" w:rsidRDefault="0095152D" w:rsidP="00691716">
            <w:pPr>
              <w:widowControl w:val="0"/>
              <w:spacing w:after="0"/>
              <w:rPr>
                <w:rFonts w:ascii="Times New Roman" w:hAnsi="Times New Roman"/>
                <w:sz w:val="22"/>
                <w:szCs w:val="22"/>
              </w:rPr>
            </w:pPr>
            <w:r w:rsidRPr="008678A0">
              <w:rPr>
                <w:rFonts w:ascii="Times New Roman" w:hAnsi="Times New Roman"/>
                <w:sz w:val="22"/>
                <w:szCs w:val="22"/>
              </w:rPr>
              <w:t>Commodities</w:t>
            </w:r>
            <w:r w:rsidR="00632295">
              <w:rPr>
                <w:rFonts w:ascii="Times New Roman" w:hAnsi="Times New Roman"/>
                <w:sz w:val="22"/>
                <w:szCs w:val="22"/>
              </w:rPr>
              <w:t xml:space="preserve"> (m</w:t>
            </w:r>
            <w:r w:rsidR="00E53721">
              <w:rPr>
                <w:rFonts w:ascii="Times New Roman" w:hAnsi="Times New Roman"/>
                <w:sz w:val="22"/>
                <w:szCs w:val="22"/>
              </w:rPr>
              <w:t>aterials and s</w:t>
            </w:r>
            <w:r w:rsidR="007554D0">
              <w:rPr>
                <w:rFonts w:ascii="Times New Roman" w:hAnsi="Times New Roman"/>
                <w:sz w:val="22"/>
                <w:szCs w:val="22"/>
              </w:rPr>
              <w:t>upplies)</w:t>
            </w:r>
          </w:p>
        </w:tc>
        <w:tc>
          <w:tcPr>
            <w:tcW w:w="297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408FAFBC" w14:textId="77777777" w:rsidR="0095152D" w:rsidRPr="008678A0" w:rsidRDefault="007554D0" w:rsidP="00691716">
            <w:pPr>
              <w:widowControl w:val="0"/>
              <w:spacing w:after="0"/>
              <w:rPr>
                <w:rFonts w:ascii="Times New Roman" w:hAnsi="Times New Roman"/>
                <w:sz w:val="22"/>
                <w:szCs w:val="22"/>
              </w:rPr>
            </w:pPr>
            <w:r>
              <w:rPr>
                <w:rFonts w:ascii="Times New Roman" w:hAnsi="Times New Roman"/>
                <w:sz w:val="22"/>
                <w:szCs w:val="22"/>
              </w:rPr>
              <w:t>$2,500</w:t>
            </w:r>
          </w:p>
        </w:tc>
        <w:tc>
          <w:tcPr>
            <w:tcW w:w="216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6355A8DC" w14:textId="77777777" w:rsidR="0095152D" w:rsidRPr="008678A0" w:rsidRDefault="0095152D" w:rsidP="00691716">
            <w:pPr>
              <w:widowControl w:val="0"/>
              <w:spacing w:after="0"/>
              <w:rPr>
                <w:rFonts w:ascii="Times New Roman" w:hAnsi="Times New Roman"/>
                <w:sz w:val="22"/>
                <w:szCs w:val="22"/>
              </w:rPr>
            </w:pPr>
          </w:p>
        </w:tc>
      </w:tr>
      <w:tr w:rsidR="0095152D" w:rsidRPr="008678A0" w14:paraId="0B471BFE" w14:textId="77777777" w:rsidTr="00793CC7">
        <w:trPr>
          <w:cantSplit/>
        </w:trPr>
        <w:tc>
          <w:tcPr>
            <w:tcW w:w="72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5E2E9C34" w14:textId="77777777" w:rsidR="0095152D" w:rsidRPr="008678A0" w:rsidRDefault="0095152D" w:rsidP="00691716">
            <w:pPr>
              <w:widowControl w:val="0"/>
              <w:spacing w:after="0"/>
              <w:rPr>
                <w:rFonts w:ascii="Times New Roman" w:hAnsi="Times New Roman"/>
                <w:sz w:val="22"/>
                <w:szCs w:val="22"/>
              </w:rPr>
            </w:pPr>
            <w:r w:rsidRPr="008678A0">
              <w:rPr>
                <w:rFonts w:ascii="Times New Roman" w:hAnsi="Times New Roman"/>
                <w:sz w:val="22"/>
                <w:szCs w:val="22"/>
              </w:rPr>
              <w:t>G.</w:t>
            </w:r>
          </w:p>
        </w:tc>
        <w:tc>
          <w:tcPr>
            <w:tcW w:w="3718"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3D2B6A21" w14:textId="77777777" w:rsidR="0095152D" w:rsidRPr="008678A0" w:rsidRDefault="0095152D" w:rsidP="00691716">
            <w:pPr>
              <w:widowControl w:val="0"/>
              <w:spacing w:after="0"/>
              <w:rPr>
                <w:rFonts w:ascii="Times New Roman" w:hAnsi="Times New Roman"/>
                <w:sz w:val="22"/>
                <w:szCs w:val="22"/>
              </w:rPr>
            </w:pPr>
            <w:r w:rsidRPr="008678A0">
              <w:rPr>
                <w:rFonts w:ascii="Times New Roman" w:hAnsi="Times New Roman"/>
                <w:sz w:val="22"/>
                <w:szCs w:val="22"/>
              </w:rPr>
              <w:t>Publication Costs</w:t>
            </w:r>
          </w:p>
        </w:tc>
        <w:tc>
          <w:tcPr>
            <w:tcW w:w="297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45935BC4" w14:textId="77777777" w:rsidR="0095152D" w:rsidRPr="008678A0" w:rsidRDefault="00CD7A97" w:rsidP="00691716">
            <w:pPr>
              <w:widowControl w:val="0"/>
              <w:spacing w:after="0"/>
              <w:rPr>
                <w:rFonts w:ascii="Times New Roman" w:hAnsi="Times New Roman"/>
                <w:sz w:val="22"/>
                <w:szCs w:val="22"/>
              </w:rPr>
            </w:pPr>
            <w:r>
              <w:rPr>
                <w:rFonts w:ascii="Times New Roman" w:hAnsi="Times New Roman"/>
                <w:sz w:val="22"/>
                <w:szCs w:val="22"/>
              </w:rPr>
              <w:t>$595</w:t>
            </w:r>
          </w:p>
        </w:tc>
        <w:tc>
          <w:tcPr>
            <w:tcW w:w="216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413437A2" w14:textId="77777777" w:rsidR="0095152D" w:rsidRPr="008678A0" w:rsidRDefault="0095152D" w:rsidP="00691716">
            <w:pPr>
              <w:widowControl w:val="0"/>
              <w:spacing w:after="0"/>
              <w:rPr>
                <w:rFonts w:ascii="Times New Roman" w:hAnsi="Times New Roman"/>
                <w:sz w:val="22"/>
                <w:szCs w:val="22"/>
              </w:rPr>
            </w:pPr>
          </w:p>
        </w:tc>
      </w:tr>
      <w:tr w:rsidR="0095152D" w:rsidRPr="008678A0" w14:paraId="6B6D9F7E" w14:textId="77777777" w:rsidTr="00793CC7">
        <w:trPr>
          <w:cantSplit/>
        </w:trPr>
        <w:tc>
          <w:tcPr>
            <w:tcW w:w="72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4209A675" w14:textId="77777777" w:rsidR="0095152D" w:rsidRPr="008678A0" w:rsidRDefault="0095152D" w:rsidP="00691716">
            <w:pPr>
              <w:widowControl w:val="0"/>
              <w:spacing w:after="0"/>
              <w:rPr>
                <w:rFonts w:ascii="Times New Roman" w:hAnsi="Times New Roman"/>
                <w:sz w:val="22"/>
                <w:szCs w:val="22"/>
              </w:rPr>
            </w:pPr>
            <w:r w:rsidRPr="008678A0">
              <w:rPr>
                <w:rFonts w:ascii="Times New Roman" w:hAnsi="Times New Roman"/>
                <w:sz w:val="22"/>
                <w:szCs w:val="22"/>
              </w:rPr>
              <w:t>H.</w:t>
            </w:r>
          </w:p>
        </w:tc>
        <w:tc>
          <w:tcPr>
            <w:tcW w:w="3718"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07439F6A" w14:textId="77777777" w:rsidR="0095152D" w:rsidRPr="008678A0" w:rsidRDefault="0095152D" w:rsidP="00691716">
            <w:pPr>
              <w:widowControl w:val="0"/>
              <w:spacing w:after="0"/>
              <w:rPr>
                <w:rFonts w:ascii="Times New Roman" w:hAnsi="Times New Roman"/>
                <w:sz w:val="22"/>
                <w:szCs w:val="22"/>
              </w:rPr>
            </w:pPr>
            <w:r w:rsidRPr="008678A0">
              <w:rPr>
                <w:rFonts w:ascii="Times New Roman" w:hAnsi="Times New Roman"/>
                <w:sz w:val="22"/>
                <w:szCs w:val="22"/>
              </w:rPr>
              <w:t xml:space="preserve">Other Costs </w:t>
            </w:r>
            <w:r w:rsidR="005B129B">
              <w:rPr>
                <w:rFonts w:ascii="Times New Roman" w:hAnsi="Times New Roman"/>
                <w:i/>
                <w:sz w:val="22"/>
                <w:szCs w:val="22"/>
              </w:rPr>
              <w:t>(</w:t>
            </w:r>
            <w:r w:rsidR="00632295">
              <w:rPr>
                <w:rFonts w:ascii="Times New Roman" w:hAnsi="Times New Roman"/>
                <w:sz w:val="22"/>
                <w:szCs w:val="22"/>
              </w:rPr>
              <w:t>p</w:t>
            </w:r>
            <w:r w:rsidR="005B129B" w:rsidRPr="005B129B">
              <w:rPr>
                <w:rFonts w:ascii="Times New Roman" w:hAnsi="Times New Roman"/>
                <w:sz w:val="22"/>
                <w:szCs w:val="22"/>
              </w:rPr>
              <w:t>lot fees</w:t>
            </w:r>
            <w:r w:rsidRPr="008678A0">
              <w:rPr>
                <w:rFonts w:ascii="Times New Roman" w:hAnsi="Times New Roman"/>
                <w:i/>
                <w:sz w:val="22"/>
                <w:szCs w:val="22"/>
              </w:rPr>
              <w:t>)</w:t>
            </w:r>
          </w:p>
        </w:tc>
        <w:tc>
          <w:tcPr>
            <w:tcW w:w="297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48474EDE" w14:textId="77777777" w:rsidR="0095152D" w:rsidRPr="008678A0" w:rsidRDefault="005B129B" w:rsidP="00691716">
            <w:pPr>
              <w:widowControl w:val="0"/>
              <w:spacing w:after="0"/>
              <w:rPr>
                <w:rFonts w:ascii="Times New Roman" w:hAnsi="Times New Roman"/>
                <w:sz w:val="22"/>
                <w:szCs w:val="22"/>
              </w:rPr>
            </w:pPr>
            <w:r>
              <w:rPr>
                <w:rFonts w:ascii="Times New Roman" w:hAnsi="Times New Roman"/>
                <w:sz w:val="22"/>
                <w:szCs w:val="22"/>
              </w:rPr>
              <w:t>$</w:t>
            </w:r>
            <w:r w:rsidR="007554D0">
              <w:rPr>
                <w:rFonts w:ascii="Times New Roman" w:hAnsi="Times New Roman"/>
                <w:sz w:val="22"/>
                <w:szCs w:val="22"/>
              </w:rPr>
              <w:t>4</w:t>
            </w:r>
            <w:r w:rsidR="00CD7A97">
              <w:rPr>
                <w:rFonts w:ascii="Times New Roman" w:hAnsi="Times New Roman"/>
                <w:sz w:val="22"/>
                <w:szCs w:val="22"/>
              </w:rPr>
              <w:t>,5</w:t>
            </w:r>
            <w:r>
              <w:rPr>
                <w:rFonts w:ascii="Times New Roman" w:hAnsi="Times New Roman"/>
                <w:sz w:val="22"/>
                <w:szCs w:val="22"/>
              </w:rPr>
              <w:t>00</w:t>
            </w:r>
          </w:p>
        </w:tc>
        <w:tc>
          <w:tcPr>
            <w:tcW w:w="216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72A97EAD" w14:textId="77777777" w:rsidR="0095152D" w:rsidRPr="008678A0" w:rsidRDefault="0095152D" w:rsidP="00691716">
            <w:pPr>
              <w:widowControl w:val="0"/>
              <w:spacing w:after="0"/>
              <w:rPr>
                <w:rFonts w:ascii="Times New Roman" w:hAnsi="Times New Roman"/>
                <w:sz w:val="22"/>
                <w:szCs w:val="22"/>
              </w:rPr>
            </w:pPr>
          </w:p>
        </w:tc>
      </w:tr>
      <w:tr w:rsidR="0095152D" w:rsidRPr="008678A0" w14:paraId="4AF12E4D" w14:textId="77777777" w:rsidTr="00793CC7">
        <w:trPr>
          <w:cantSplit/>
        </w:trPr>
        <w:tc>
          <w:tcPr>
            <w:tcW w:w="4438" w:type="dxa"/>
            <w:gridSpan w:val="2"/>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678C8D4C" w14:textId="77777777" w:rsidR="0095152D" w:rsidRPr="008678A0" w:rsidRDefault="0095152D" w:rsidP="00691716">
            <w:pPr>
              <w:widowControl w:val="0"/>
              <w:spacing w:after="0"/>
              <w:rPr>
                <w:rFonts w:ascii="Times New Roman" w:hAnsi="Times New Roman"/>
                <w:sz w:val="22"/>
                <w:szCs w:val="22"/>
              </w:rPr>
            </w:pPr>
            <w:r w:rsidRPr="008678A0">
              <w:rPr>
                <w:rFonts w:ascii="Times New Roman" w:hAnsi="Times New Roman"/>
                <w:sz w:val="22"/>
                <w:szCs w:val="22"/>
              </w:rPr>
              <w:t>TOTAL COST</w:t>
            </w:r>
          </w:p>
        </w:tc>
        <w:tc>
          <w:tcPr>
            <w:tcW w:w="297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16158570" w14:textId="77777777" w:rsidR="0095152D" w:rsidRPr="007E1D48" w:rsidRDefault="005E4745" w:rsidP="00691716">
            <w:pPr>
              <w:widowControl w:val="0"/>
              <w:spacing w:after="0"/>
              <w:rPr>
                <w:rFonts w:ascii="Times New Roman" w:hAnsi="Times New Roman"/>
                <w:b/>
                <w:sz w:val="22"/>
                <w:szCs w:val="22"/>
              </w:rPr>
            </w:pPr>
            <w:r w:rsidRPr="007E1D48">
              <w:rPr>
                <w:rFonts w:ascii="Times New Roman" w:hAnsi="Times New Roman"/>
                <w:b/>
                <w:sz w:val="22"/>
                <w:szCs w:val="22"/>
              </w:rPr>
              <w:t>$65,500</w:t>
            </w:r>
          </w:p>
        </w:tc>
        <w:tc>
          <w:tcPr>
            <w:tcW w:w="2160"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52ACD195" w14:textId="77777777" w:rsidR="0095152D" w:rsidRPr="008678A0" w:rsidRDefault="0095152D" w:rsidP="00691716">
            <w:pPr>
              <w:widowControl w:val="0"/>
              <w:spacing w:after="0"/>
              <w:rPr>
                <w:rFonts w:ascii="Times New Roman" w:hAnsi="Times New Roman"/>
                <w:sz w:val="22"/>
                <w:szCs w:val="22"/>
              </w:rPr>
            </w:pPr>
          </w:p>
        </w:tc>
      </w:tr>
      <w:tr w:rsidR="008678A0" w:rsidRPr="008678A0" w14:paraId="480A8962" w14:textId="77777777" w:rsidTr="00D66033">
        <w:trPr>
          <w:cantSplit/>
        </w:trPr>
        <w:tc>
          <w:tcPr>
            <w:tcW w:w="9568" w:type="dxa"/>
            <w:gridSpan w:val="4"/>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hideMark/>
          </w:tcPr>
          <w:p w14:paraId="218A0C67" w14:textId="77777777" w:rsidR="008678A0" w:rsidRPr="008678A0" w:rsidRDefault="008678A0" w:rsidP="00691716">
            <w:pPr>
              <w:widowControl w:val="0"/>
              <w:spacing w:after="0"/>
              <w:rPr>
                <w:rFonts w:ascii="Times New Roman" w:hAnsi="Times New Roman"/>
                <w:sz w:val="22"/>
                <w:szCs w:val="22"/>
              </w:rPr>
            </w:pPr>
            <w:r w:rsidRPr="008678A0">
              <w:rPr>
                <w:rFonts w:ascii="Times New Roman" w:hAnsi="Times New Roman"/>
                <w:sz w:val="22"/>
                <w:szCs w:val="22"/>
              </w:rPr>
              <w:t>(</w:t>
            </w:r>
            <w:r w:rsidR="00793CC7">
              <w:rPr>
                <w:rFonts w:ascii="Times New Roman" w:hAnsi="Times New Roman"/>
                <w:sz w:val="22"/>
                <w:szCs w:val="22"/>
              </w:rPr>
              <w:t>MSSB</w:t>
            </w:r>
            <w:r w:rsidRPr="008678A0">
              <w:rPr>
                <w:rFonts w:ascii="Times New Roman" w:hAnsi="Times New Roman"/>
                <w:sz w:val="22"/>
                <w:szCs w:val="22"/>
              </w:rPr>
              <w:t xml:space="preserve"> does not allow indirect costs/overhead charges)</w:t>
            </w:r>
          </w:p>
        </w:tc>
      </w:tr>
      <w:tr w:rsidR="008678A0" w:rsidRPr="008678A0" w14:paraId="5A71629F" w14:textId="77777777" w:rsidTr="00D66033">
        <w:trPr>
          <w:cantSplit/>
        </w:trPr>
        <w:tc>
          <w:tcPr>
            <w:tcW w:w="9568" w:type="dxa"/>
            <w:gridSpan w:val="4"/>
            <w:tcBorders>
              <w:top w:val="single" w:sz="4" w:space="0" w:color="auto"/>
              <w:left w:val="single" w:sz="4" w:space="0" w:color="auto"/>
              <w:bottom w:val="single" w:sz="4" w:space="0" w:color="auto"/>
              <w:right w:val="single" w:sz="4" w:space="0" w:color="auto"/>
            </w:tcBorders>
            <w:tcMar>
              <w:top w:w="120" w:type="dxa"/>
              <w:left w:w="120" w:type="dxa"/>
              <w:bottom w:w="58" w:type="dxa"/>
              <w:right w:w="120" w:type="dxa"/>
            </w:tcMar>
            <w:hideMark/>
          </w:tcPr>
          <w:p w14:paraId="574556C2" w14:textId="77777777" w:rsidR="008678A0" w:rsidRPr="008678A0" w:rsidRDefault="008678A0" w:rsidP="00691716">
            <w:pPr>
              <w:pStyle w:val="Level1"/>
              <w:rPr>
                <w:sz w:val="22"/>
                <w:szCs w:val="22"/>
              </w:rPr>
            </w:pPr>
            <w:r w:rsidRPr="008678A0">
              <w:rPr>
                <w:b/>
                <w:sz w:val="22"/>
                <w:szCs w:val="22"/>
              </w:rPr>
              <w:t>Personnel</w:t>
            </w:r>
            <w:r w:rsidRPr="008678A0">
              <w:rPr>
                <w:sz w:val="22"/>
                <w:szCs w:val="22"/>
              </w:rPr>
              <w:t xml:space="preserve">: Show number of hours x hourly rate for each category.  GRA cost to include tuition and books.  </w:t>
            </w:r>
            <w:r w:rsidR="00793CC7">
              <w:rPr>
                <w:sz w:val="22"/>
                <w:szCs w:val="22"/>
              </w:rPr>
              <w:t>MSSB</w:t>
            </w:r>
            <w:r w:rsidRPr="008678A0">
              <w:rPr>
                <w:sz w:val="22"/>
                <w:szCs w:val="22"/>
              </w:rPr>
              <w:t xml:space="preserve"> does not pay salaries of principal investigators or cooperating scientists (USB Compliance Manual, Sect. 17, Part 2-D).</w:t>
            </w:r>
          </w:p>
          <w:p w14:paraId="1A1E285F" w14:textId="77777777" w:rsidR="008678A0" w:rsidRPr="008678A0" w:rsidRDefault="008678A0" w:rsidP="00691716">
            <w:pPr>
              <w:pStyle w:val="Level1"/>
              <w:rPr>
                <w:sz w:val="22"/>
                <w:szCs w:val="22"/>
              </w:rPr>
            </w:pPr>
            <w:r w:rsidRPr="008678A0">
              <w:rPr>
                <w:b/>
                <w:sz w:val="22"/>
                <w:szCs w:val="22"/>
              </w:rPr>
              <w:t xml:space="preserve">Fringe Benefits: </w:t>
            </w:r>
            <w:r w:rsidRPr="008678A0">
              <w:rPr>
                <w:sz w:val="22"/>
                <w:szCs w:val="22"/>
              </w:rPr>
              <w:t>Amount and rate for indicated salaries, wages, and GRAs must be shown.</w:t>
            </w:r>
          </w:p>
          <w:p w14:paraId="11FF7A77" w14:textId="77777777" w:rsidR="008678A0" w:rsidRPr="008678A0" w:rsidRDefault="008678A0" w:rsidP="00691716">
            <w:pPr>
              <w:pStyle w:val="Level1"/>
              <w:rPr>
                <w:sz w:val="22"/>
                <w:szCs w:val="22"/>
              </w:rPr>
            </w:pPr>
            <w:r w:rsidRPr="008678A0">
              <w:rPr>
                <w:b/>
                <w:sz w:val="22"/>
                <w:szCs w:val="22"/>
              </w:rPr>
              <w:t>Travel</w:t>
            </w:r>
            <w:r w:rsidRPr="008678A0">
              <w:rPr>
                <w:sz w:val="22"/>
                <w:szCs w:val="22"/>
              </w:rPr>
              <w:t>: Out-of-pocket and per diem expenses (hotel and meals) for site visits, travel to and from meetings (e.g. airfare, vehicle mileage not to exceed the IRS rate), etc.</w:t>
            </w:r>
          </w:p>
          <w:p w14:paraId="1109D251" w14:textId="77777777" w:rsidR="008678A0" w:rsidRPr="008678A0" w:rsidRDefault="008678A0" w:rsidP="00691716">
            <w:pPr>
              <w:pStyle w:val="Level1"/>
              <w:rPr>
                <w:sz w:val="22"/>
                <w:szCs w:val="22"/>
              </w:rPr>
            </w:pPr>
            <w:r w:rsidRPr="008678A0">
              <w:rPr>
                <w:b/>
                <w:sz w:val="22"/>
                <w:szCs w:val="22"/>
              </w:rPr>
              <w:t>Contractual Services</w:t>
            </w:r>
            <w:r w:rsidRPr="008678A0">
              <w:rPr>
                <w:sz w:val="22"/>
                <w:szCs w:val="22"/>
              </w:rPr>
              <w:t>: External lab fees, consultants, etc.</w:t>
            </w:r>
          </w:p>
          <w:p w14:paraId="40D631E9" w14:textId="77777777" w:rsidR="008678A0" w:rsidRPr="008678A0" w:rsidRDefault="008678A0" w:rsidP="00691716">
            <w:pPr>
              <w:pStyle w:val="Level1"/>
              <w:rPr>
                <w:sz w:val="22"/>
                <w:szCs w:val="22"/>
              </w:rPr>
            </w:pPr>
            <w:r w:rsidRPr="008678A0">
              <w:rPr>
                <w:b/>
                <w:sz w:val="22"/>
                <w:szCs w:val="22"/>
              </w:rPr>
              <w:t>Commodities</w:t>
            </w:r>
            <w:r w:rsidRPr="008678A0">
              <w:rPr>
                <w:sz w:val="22"/>
                <w:szCs w:val="22"/>
              </w:rPr>
              <w:t>: Expenses related to the conduct of the project (e.g., seed, fertilizers, pesticides, lab supplies).</w:t>
            </w:r>
          </w:p>
          <w:p w14:paraId="7445923B" w14:textId="77777777" w:rsidR="008678A0" w:rsidRPr="008678A0" w:rsidRDefault="008678A0" w:rsidP="00691716">
            <w:pPr>
              <w:pStyle w:val="Level1"/>
              <w:rPr>
                <w:sz w:val="22"/>
                <w:szCs w:val="22"/>
              </w:rPr>
            </w:pPr>
            <w:r w:rsidRPr="008678A0">
              <w:rPr>
                <w:b/>
                <w:sz w:val="22"/>
                <w:szCs w:val="22"/>
              </w:rPr>
              <w:t>Additional Details</w:t>
            </w:r>
            <w:r w:rsidRPr="008678A0">
              <w:rPr>
                <w:sz w:val="22"/>
                <w:szCs w:val="22"/>
              </w:rPr>
              <w:t>: Provide for each budget category in addendum if necessary.</w:t>
            </w:r>
          </w:p>
          <w:p w14:paraId="2C07D26D" w14:textId="77777777" w:rsidR="008678A0" w:rsidRPr="008678A0" w:rsidRDefault="008678A0" w:rsidP="00691716">
            <w:pPr>
              <w:pStyle w:val="Level1"/>
              <w:rPr>
                <w:sz w:val="22"/>
                <w:szCs w:val="22"/>
              </w:rPr>
            </w:pPr>
            <w:r w:rsidRPr="008678A0">
              <w:rPr>
                <w:b/>
                <w:sz w:val="22"/>
                <w:szCs w:val="22"/>
              </w:rPr>
              <w:t>Reminder</w:t>
            </w:r>
            <w:r w:rsidRPr="008678A0">
              <w:rPr>
                <w:sz w:val="22"/>
                <w:szCs w:val="22"/>
              </w:rPr>
              <w:t xml:space="preserve">: All payments for project activities are on a reimbursable basis based on an itemized invoice submitted to </w:t>
            </w:r>
            <w:r w:rsidR="00793CC7">
              <w:rPr>
                <w:sz w:val="22"/>
                <w:szCs w:val="22"/>
              </w:rPr>
              <w:t>MSSB</w:t>
            </w:r>
            <w:r w:rsidRPr="008678A0">
              <w:rPr>
                <w:sz w:val="22"/>
                <w:szCs w:val="22"/>
              </w:rPr>
              <w:t xml:space="preserve"> each quarter along with a progress report.</w:t>
            </w:r>
          </w:p>
          <w:p w14:paraId="43207624" w14:textId="77777777" w:rsidR="008678A0" w:rsidRPr="008678A0" w:rsidRDefault="008678A0" w:rsidP="00691716">
            <w:pPr>
              <w:pStyle w:val="Level1"/>
              <w:rPr>
                <w:sz w:val="22"/>
                <w:szCs w:val="22"/>
              </w:rPr>
            </w:pPr>
            <w:r w:rsidRPr="008678A0">
              <w:rPr>
                <w:b/>
                <w:sz w:val="22"/>
                <w:szCs w:val="22"/>
              </w:rPr>
              <w:t>Budget Transfers</w:t>
            </w:r>
            <w:r w:rsidRPr="008678A0">
              <w:rPr>
                <w:sz w:val="22"/>
                <w:szCs w:val="22"/>
              </w:rPr>
              <w:t>: The MS</w:t>
            </w:r>
            <w:r w:rsidR="00793CC7">
              <w:rPr>
                <w:sz w:val="22"/>
                <w:szCs w:val="22"/>
              </w:rPr>
              <w:t>SB</w:t>
            </w:r>
            <w:r w:rsidRPr="008678A0">
              <w:rPr>
                <w:sz w:val="22"/>
                <w:szCs w:val="22"/>
              </w:rPr>
              <w:t xml:space="preserve"> follows USB guidelines, which state “The PI may transfer funds amongst budget categories </w:t>
            </w:r>
            <w:r w:rsidRPr="008678A0">
              <w:rPr>
                <w:sz w:val="22"/>
                <w:szCs w:val="22"/>
                <w:u w:val="single"/>
              </w:rPr>
              <w:t>only with MS</w:t>
            </w:r>
            <w:r w:rsidR="00793CC7">
              <w:rPr>
                <w:sz w:val="22"/>
                <w:szCs w:val="22"/>
                <w:u w:val="single"/>
              </w:rPr>
              <w:t>SB</w:t>
            </w:r>
            <w:r w:rsidRPr="008678A0">
              <w:rPr>
                <w:sz w:val="22"/>
                <w:szCs w:val="22"/>
                <w:u w:val="single"/>
              </w:rPr>
              <w:t>’s prior written consent if</w:t>
            </w:r>
            <w:r w:rsidRPr="008678A0">
              <w:rPr>
                <w:sz w:val="22"/>
                <w:szCs w:val="22"/>
              </w:rPr>
              <w:t xml:space="preserve"> (</w:t>
            </w:r>
            <w:proofErr w:type="spellStart"/>
            <w:r w:rsidRPr="008678A0">
              <w:rPr>
                <w:sz w:val="22"/>
                <w:szCs w:val="22"/>
              </w:rPr>
              <w:t>i</w:t>
            </w:r>
            <w:proofErr w:type="spellEnd"/>
            <w:r w:rsidRPr="008678A0">
              <w:rPr>
                <w:sz w:val="22"/>
                <w:szCs w:val="22"/>
              </w:rPr>
              <w:t xml:space="preserve">) the amount transferred </w:t>
            </w:r>
            <w:r w:rsidRPr="008678A0">
              <w:rPr>
                <w:sz w:val="22"/>
                <w:szCs w:val="22"/>
                <w:u w:val="single"/>
              </w:rPr>
              <w:t>exceeds 10%</w:t>
            </w:r>
            <w:r w:rsidRPr="008678A0">
              <w:rPr>
                <w:sz w:val="22"/>
                <w:szCs w:val="22"/>
              </w:rPr>
              <w:t xml:space="preserve"> of any one general budget category (per annual period) or (ii) the funds transferred are </w:t>
            </w:r>
            <w:r w:rsidRPr="008678A0">
              <w:rPr>
                <w:sz w:val="22"/>
                <w:szCs w:val="22"/>
                <w:u w:val="single"/>
              </w:rPr>
              <w:t>travel related</w:t>
            </w:r>
            <w:r w:rsidRPr="008678A0">
              <w:rPr>
                <w:sz w:val="22"/>
                <w:szCs w:val="22"/>
              </w:rPr>
              <w:t xml:space="preserve">.  </w:t>
            </w:r>
            <w:r w:rsidRPr="008678A0">
              <w:rPr>
                <w:sz w:val="22"/>
                <w:szCs w:val="22"/>
                <w:u w:val="single"/>
              </w:rPr>
              <w:t xml:space="preserve">PI shall </w:t>
            </w:r>
            <w:r w:rsidR="00D66033">
              <w:rPr>
                <w:sz w:val="22"/>
                <w:szCs w:val="22"/>
                <w:u w:val="single"/>
              </w:rPr>
              <w:t xml:space="preserve">request permission from </w:t>
            </w:r>
            <w:r w:rsidRPr="008678A0">
              <w:rPr>
                <w:sz w:val="22"/>
                <w:szCs w:val="22"/>
                <w:u w:val="single"/>
              </w:rPr>
              <w:t>MS</w:t>
            </w:r>
            <w:r w:rsidR="00793CC7">
              <w:rPr>
                <w:sz w:val="22"/>
                <w:szCs w:val="22"/>
                <w:u w:val="single"/>
              </w:rPr>
              <w:t>SB</w:t>
            </w:r>
            <w:r w:rsidRPr="008678A0">
              <w:rPr>
                <w:sz w:val="22"/>
                <w:szCs w:val="22"/>
                <w:u w:val="single"/>
              </w:rPr>
              <w:t xml:space="preserve"> </w:t>
            </w:r>
            <w:r w:rsidR="00D66033">
              <w:rPr>
                <w:sz w:val="22"/>
                <w:szCs w:val="22"/>
                <w:u w:val="single"/>
              </w:rPr>
              <w:t>for</w:t>
            </w:r>
            <w:r w:rsidRPr="008678A0">
              <w:rPr>
                <w:sz w:val="22"/>
                <w:szCs w:val="22"/>
                <w:u w:val="single"/>
              </w:rPr>
              <w:t xml:space="preserve"> all budget reallocations and account for them in his/her financial report</w:t>
            </w:r>
            <w:r w:rsidRPr="008678A0">
              <w:rPr>
                <w:sz w:val="22"/>
                <w:szCs w:val="22"/>
              </w:rPr>
              <w:t>.”</w:t>
            </w:r>
          </w:p>
          <w:p w14:paraId="4F61150D" w14:textId="77777777" w:rsidR="008678A0" w:rsidRPr="008678A0" w:rsidRDefault="008678A0" w:rsidP="00691716">
            <w:pPr>
              <w:pStyle w:val="Level1"/>
              <w:rPr>
                <w:sz w:val="22"/>
                <w:szCs w:val="22"/>
              </w:rPr>
            </w:pPr>
            <w:r w:rsidRPr="008678A0">
              <w:rPr>
                <w:b/>
                <w:sz w:val="22"/>
                <w:szCs w:val="22"/>
              </w:rPr>
              <w:t xml:space="preserve">Additional Instructions:  </w:t>
            </w:r>
            <w:r w:rsidRPr="008678A0">
              <w:rPr>
                <w:sz w:val="22"/>
                <w:szCs w:val="22"/>
              </w:rPr>
              <w:t>See Addendum B.</w:t>
            </w:r>
          </w:p>
        </w:tc>
      </w:tr>
    </w:tbl>
    <w:p w14:paraId="4AE151DE" w14:textId="77777777" w:rsidR="00BB16F8" w:rsidRPr="008678A0" w:rsidRDefault="008678A0" w:rsidP="00BB16F8">
      <w:pPr>
        <w:widowControl w:val="0"/>
        <w:spacing w:after="0"/>
        <w:jc w:val="center"/>
        <w:rPr>
          <w:rFonts w:ascii="Times New Roman" w:hAnsi="Times New Roman"/>
          <w:sz w:val="22"/>
          <w:szCs w:val="22"/>
        </w:rPr>
      </w:pPr>
      <w:r w:rsidRPr="008678A0">
        <w:rPr>
          <w:rFonts w:ascii="Times New Roman" w:hAnsi="Times New Roman"/>
          <w:sz w:val="22"/>
          <w:szCs w:val="22"/>
        </w:rPr>
        <w:br w:type="page"/>
      </w:r>
      <w:r w:rsidR="00BB16F8" w:rsidRPr="008678A0">
        <w:rPr>
          <w:rFonts w:ascii="Times New Roman" w:hAnsi="Times New Roman"/>
          <w:b/>
          <w:sz w:val="22"/>
          <w:szCs w:val="22"/>
          <w:u w:val="single"/>
        </w:rPr>
        <w:lastRenderedPageBreak/>
        <w:t>TECHNICAL SUMMARY</w:t>
      </w:r>
    </w:p>
    <w:p w14:paraId="410E7EE6" w14:textId="77777777" w:rsidR="00BB16F8" w:rsidRPr="008678A0" w:rsidRDefault="00BB16F8" w:rsidP="00BB16F8">
      <w:pPr>
        <w:widowControl w:val="0"/>
        <w:spacing w:after="0"/>
        <w:rPr>
          <w:rFonts w:ascii="Times New Roman" w:hAnsi="Times New Roman"/>
          <w:sz w:val="22"/>
          <w:szCs w:val="22"/>
        </w:rPr>
      </w:pPr>
    </w:p>
    <w:p w14:paraId="642721CF" w14:textId="77777777" w:rsidR="00BB16F8" w:rsidRDefault="00BB16F8" w:rsidP="00BB16F8">
      <w:pPr>
        <w:widowControl w:val="0"/>
        <w:spacing w:after="0"/>
        <w:rPr>
          <w:rFonts w:ascii="Times New Roman" w:hAnsi="Times New Roman"/>
          <w:sz w:val="22"/>
          <w:szCs w:val="22"/>
        </w:rPr>
      </w:pPr>
      <w:r>
        <w:rPr>
          <w:rFonts w:ascii="Times New Roman" w:hAnsi="Times New Roman"/>
          <w:sz w:val="22"/>
          <w:szCs w:val="22"/>
        </w:rPr>
        <w:t xml:space="preserve">Dicamba, a benzoic acid herbicide with auxin-like activity, has recently gained popularity after the development </w:t>
      </w:r>
      <w:r w:rsidR="00D07489">
        <w:rPr>
          <w:rFonts w:ascii="Times New Roman" w:hAnsi="Times New Roman"/>
          <w:sz w:val="22"/>
          <w:szCs w:val="22"/>
        </w:rPr>
        <w:t xml:space="preserve">and commercialization </w:t>
      </w:r>
      <w:r>
        <w:rPr>
          <w:rFonts w:ascii="Times New Roman" w:hAnsi="Times New Roman"/>
          <w:sz w:val="22"/>
          <w:szCs w:val="22"/>
        </w:rPr>
        <w:t xml:space="preserve">of genetically modified dicamba-tolerant soybeans in 2016. Since then, the adoption of this technology has widespread across the United States along with many reports of off-target </w:t>
      </w:r>
      <w:r w:rsidR="006D6E25">
        <w:rPr>
          <w:rFonts w:ascii="Times New Roman" w:hAnsi="Times New Roman"/>
          <w:sz w:val="22"/>
          <w:szCs w:val="22"/>
        </w:rPr>
        <w:t xml:space="preserve">drift </w:t>
      </w:r>
      <w:r>
        <w:rPr>
          <w:rFonts w:ascii="Times New Roman" w:hAnsi="Times New Roman"/>
          <w:sz w:val="22"/>
          <w:szCs w:val="22"/>
        </w:rPr>
        <w:t>damaged in non-tolerant soybean fields. The United States Department of Agriculture reported over 2</w:t>
      </w:r>
      <w:r w:rsidR="006D6E25">
        <w:rPr>
          <w:rFonts w:ascii="Times New Roman" w:hAnsi="Times New Roman"/>
          <w:sz w:val="22"/>
          <w:szCs w:val="22"/>
        </w:rPr>
        <w:t>,</w:t>
      </w:r>
      <w:r>
        <w:rPr>
          <w:rFonts w:ascii="Times New Roman" w:hAnsi="Times New Roman"/>
          <w:sz w:val="22"/>
          <w:szCs w:val="22"/>
        </w:rPr>
        <w:t>700 official Dicamba-related injury investigations in soybean in 2017, of which over 2</w:t>
      </w:r>
      <w:r w:rsidR="006D6E25">
        <w:rPr>
          <w:rFonts w:ascii="Times New Roman" w:hAnsi="Times New Roman"/>
          <w:sz w:val="22"/>
          <w:szCs w:val="22"/>
        </w:rPr>
        <w:t>,</w:t>
      </w:r>
      <w:r>
        <w:rPr>
          <w:rFonts w:ascii="Times New Roman" w:hAnsi="Times New Roman"/>
          <w:sz w:val="22"/>
          <w:szCs w:val="22"/>
        </w:rPr>
        <w:t>300 were placed in Mid-south US states</w:t>
      </w:r>
      <w:r w:rsidR="00A93E63">
        <w:rPr>
          <w:rFonts w:ascii="Times New Roman" w:hAnsi="Times New Roman"/>
          <w:sz w:val="22"/>
          <w:szCs w:val="22"/>
        </w:rPr>
        <w:t xml:space="preserve"> with Missouri Bootheel being most affected</w:t>
      </w:r>
      <w:r>
        <w:rPr>
          <w:rFonts w:ascii="Times New Roman" w:hAnsi="Times New Roman"/>
          <w:sz w:val="22"/>
          <w:szCs w:val="22"/>
        </w:rPr>
        <w:t>. Soybeans are naturally susceptible to Dicamba, and exposure</w:t>
      </w:r>
      <w:r w:rsidR="004A41CD">
        <w:rPr>
          <w:rFonts w:ascii="Times New Roman" w:hAnsi="Times New Roman"/>
          <w:sz w:val="22"/>
          <w:szCs w:val="22"/>
        </w:rPr>
        <w:t xml:space="preserve"> to this herbicide</w:t>
      </w:r>
      <w:r>
        <w:rPr>
          <w:rFonts w:ascii="Times New Roman" w:hAnsi="Times New Roman"/>
          <w:sz w:val="22"/>
          <w:szCs w:val="22"/>
        </w:rPr>
        <w:t xml:space="preserve"> results in plant stunting and abnormal leaf development known as cupping. The severity of the symptoms and yield penalty will vary based on the growth stage, dosage of exposure, and potential</w:t>
      </w:r>
      <w:r w:rsidR="004A41CD">
        <w:rPr>
          <w:rFonts w:ascii="Times New Roman" w:hAnsi="Times New Roman"/>
          <w:sz w:val="22"/>
          <w:szCs w:val="22"/>
        </w:rPr>
        <w:t>ly genetic background. Reports i</w:t>
      </w:r>
      <w:r>
        <w:rPr>
          <w:rFonts w:ascii="Times New Roman" w:hAnsi="Times New Roman"/>
          <w:sz w:val="22"/>
          <w:szCs w:val="22"/>
        </w:rPr>
        <w:t xml:space="preserve">n the literature indicate that soybeans are more </w:t>
      </w:r>
      <w:r w:rsidR="004A41CD">
        <w:rPr>
          <w:rFonts w:ascii="Times New Roman" w:hAnsi="Times New Roman"/>
          <w:sz w:val="22"/>
          <w:szCs w:val="22"/>
        </w:rPr>
        <w:t>sensitive to dicamba exposure at</w:t>
      </w:r>
      <w:r>
        <w:rPr>
          <w:rFonts w:ascii="Times New Roman" w:hAnsi="Times New Roman"/>
          <w:sz w:val="22"/>
          <w:szCs w:val="22"/>
        </w:rPr>
        <w:t xml:space="preserve"> flowering stage when compared to vegetative </w:t>
      </w:r>
      <w:r w:rsidR="004A41CD">
        <w:rPr>
          <w:rFonts w:ascii="Times New Roman" w:hAnsi="Times New Roman"/>
          <w:sz w:val="22"/>
          <w:szCs w:val="22"/>
        </w:rPr>
        <w:t xml:space="preserve">growth </w:t>
      </w:r>
      <w:r>
        <w:rPr>
          <w:rFonts w:ascii="Times New Roman" w:hAnsi="Times New Roman"/>
          <w:sz w:val="22"/>
          <w:szCs w:val="22"/>
        </w:rPr>
        <w:t xml:space="preserve">stages, however no literature is available on the genetic variations causing different responses to dicamba exposure. In 2019, a field assay in 650 plots exposed to severe Dicamba off-target </w:t>
      </w:r>
      <w:r w:rsidR="00525A98">
        <w:rPr>
          <w:rFonts w:ascii="Times New Roman" w:hAnsi="Times New Roman"/>
          <w:sz w:val="22"/>
          <w:szCs w:val="22"/>
        </w:rPr>
        <w:t xml:space="preserve">drift </w:t>
      </w:r>
      <w:r>
        <w:rPr>
          <w:rFonts w:ascii="Times New Roman" w:hAnsi="Times New Roman"/>
          <w:sz w:val="22"/>
          <w:szCs w:val="22"/>
        </w:rPr>
        <w:t>damage at the University of Missouri – Delta Center Soybean Breeding indicated distinct degrees</w:t>
      </w:r>
      <w:r w:rsidR="00525A98">
        <w:rPr>
          <w:rFonts w:ascii="Times New Roman" w:hAnsi="Times New Roman"/>
          <w:sz w:val="22"/>
          <w:szCs w:val="22"/>
        </w:rPr>
        <w:t>/severity</w:t>
      </w:r>
      <w:r>
        <w:rPr>
          <w:rFonts w:ascii="Times New Roman" w:hAnsi="Times New Roman"/>
          <w:sz w:val="22"/>
          <w:szCs w:val="22"/>
        </w:rPr>
        <w:t xml:space="preserve"> of symptoms across different genotypes. The differentiation in response to Dicamba represe</w:t>
      </w:r>
      <w:r w:rsidR="00112E82">
        <w:rPr>
          <w:rFonts w:ascii="Times New Roman" w:hAnsi="Times New Roman"/>
          <w:sz w:val="22"/>
          <w:szCs w:val="22"/>
        </w:rPr>
        <w:t>nts an opportunity to select</w:t>
      </w:r>
      <w:r>
        <w:rPr>
          <w:rFonts w:ascii="Times New Roman" w:hAnsi="Times New Roman"/>
          <w:sz w:val="22"/>
          <w:szCs w:val="22"/>
        </w:rPr>
        <w:t xml:space="preserve"> </w:t>
      </w:r>
      <w:r w:rsidR="00112E82">
        <w:rPr>
          <w:rFonts w:ascii="Times New Roman" w:hAnsi="Times New Roman"/>
          <w:sz w:val="22"/>
          <w:szCs w:val="22"/>
        </w:rPr>
        <w:t xml:space="preserve">naturally </w:t>
      </w:r>
      <w:r>
        <w:rPr>
          <w:rFonts w:ascii="Times New Roman" w:hAnsi="Times New Roman"/>
          <w:sz w:val="22"/>
          <w:szCs w:val="22"/>
        </w:rPr>
        <w:t xml:space="preserve">dicamba-tolerant soybeans, as well as identify the genetic variations </w:t>
      </w:r>
      <w:r w:rsidR="00112E82">
        <w:rPr>
          <w:rFonts w:ascii="Times New Roman" w:hAnsi="Times New Roman"/>
          <w:sz w:val="22"/>
          <w:szCs w:val="22"/>
        </w:rPr>
        <w:t>underlying the natural tolerance</w:t>
      </w:r>
      <w:r>
        <w:rPr>
          <w:rFonts w:ascii="Times New Roman" w:hAnsi="Times New Roman"/>
          <w:sz w:val="22"/>
          <w:szCs w:val="22"/>
        </w:rPr>
        <w:t>. Therefore, the objective</w:t>
      </w:r>
      <w:r w:rsidR="003F3C5A">
        <w:rPr>
          <w:rFonts w:ascii="Times New Roman" w:hAnsi="Times New Roman"/>
          <w:sz w:val="22"/>
          <w:szCs w:val="22"/>
        </w:rPr>
        <w:t>s</w:t>
      </w:r>
      <w:r>
        <w:rPr>
          <w:rFonts w:ascii="Times New Roman" w:hAnsi="Times New Roman"/>
          <w:sz w:val="22"/>
          <w:szCs w:val="22"/>
        </w:rPr>
        <w:t xml:space="preserve"> of this research proposal </w:t>
      </w:r>
      <w:proofErr w:type="gramStart"/>
      <w:r>
        <w:rPr>
          <w:rFonts w:ascii="Times New Roman" w:hAnsi="Times New Roman"/>
          <w:sz w:val="22"/>
          <w:szCs w:val="22"/>
        </w:rPr>
        <w:t>is</w:t>
      </w:r>
      <w:proofErr w:type="gramEnd"/>
      <w:r>
        <w:rPr>
          <w:rFonts w:ascii="Times New Roman" w:hAnsi="Times New Roman"/>
          <w:sz w:val="22"/>
          <w:szCs w:val="22"/>
        </w:rPr>
        <w:t xml:space="preserve"> to use phenotypic and genotypic approaches to </w:t>
      </w:r>
      <w:r w:rsidR="003F3C5A">
        <w:rPr>
          <w:rFonts w:ascii="Times New Roman" w:hAnsi="Times New Roman"/>
          <w:sz w:val="22"/>
          <w:szCs w:val="22"/>
        </w:rPr>
        <w:t xml:space="preserve">characterize natural variation in response to </w:t>
      </w:r>
      <w:r w:rsidR="00F367A9">
        <w:rPr>
          <w:rFonts w:ascii="Times New Roman" w:hAnsi="Times New Roman"/>
          <w:sz w:val="22"/>
          <w:szCs w:val="22"/>
        </w:rPr>
        <w:t xml:space="preserve">Dicamba </w:t>
      </w:r>
      <w:r w:rsidR="003F3C5A">
        <w:rPr>
          <w:rFonts w:ascii="Times New Roman" w:hAnsi="Times New Roman"/>
          <w:sz w:val="22"/>
          <w:szCs w:val="22"/>
        </w:rPr>
        <w:t xml:space="preserve">drift and </w:t>
      </w:r>
      <w:r>
        <w:rPr>
          <w:rFonts w:ascii="Times New Roman" w:hAnsi="Times New Roman"/>
          <w:sz w:val="22"/>
          <w:szCs w:val="22"/>
        </w:rPr>
        <w:t>select and develop soybean varieties adapted to mid-south United States with enhanced natural tolerance to the Dicamba</w:t>
      </w:r>
      <w:r w:rsidR="003F3C5A">
        <w:rPr>
          <w:rFonts w:ascii="Times New Roman" w:hAnsi="Times New Roman"/>
          <w:sz w:val="22"/>
          <w:szCs w:val="22"/>
        </w:rPr>
        <w:t xml:space="preserve"> herbicide</w:t>
      </w:r>
      <w:r>
        <w:rPr>
          <w:rFonts w:ascii="Times New Roman" w:hAnsi="Times New Roman"/>
          <w:sz w:val="22"/>
          <w:szCs w:val="22"/>
        </w:rPr>
        <w:t>. A set of 200 high-yielding soybean lines developed at the University of Missouri - Delta Center Soybean Breeding will be tested for yield performance at three locations (sand, clay and loam soils) in two different planting dates (Late-April and Mid-May) with three replications. The experimental design will be randomized complete block. Di</w:t>
      </w:r>
      <w:r w:rsidR="00A874CF">
        <w:rPr>
          <w:rFonts w:ascii="Times New Roman" w:hAnsi="Times New Roman"/>
          <w:sz w:val="22"/>
          <w:szCs w:val="22"/>
        </w:rPr>
        <w:t>camba injuries will be scored at</w:t>
      </w:r>
      <w:r>
        <w:rPr>
          <w:rFonts w:ascii="Times New Roman" w:hAnsi="Times New Roman"/>
          <w:sz w:val="22"/>
          <w:szCs w:val="22"/>
        </w:rPr>
        <w:t xml:space="preserve"> vegetative (V4) and reproductive growth stages (R1 and R5). Scores will range from 1 to 5, where 1 represents no visible symptoms and 5 represents severe symptoms of Dicamba injury. To identify regions of the soybean genome regulating tolerance to Dicamba, a genome-wide association study will be conducted using the genotypic platform SoySNP6K. A mixed-linear model will account for genotypic and environmental variability, enhancing the ability to detect regions in the genome regulating Dicamba tolerance. A haplotype conferring the desired </w:t>
      </w:r>
      <w:r w:rsidR="00A874CF">
        <w:rPr>
          <w:rFonts w:ascii="Times New Roman" w:hAnsi="Times New Roman"/>
          <w:sz w:val="22"/>
          <w:szCs w:val="22"/>
        </w:rPr>
        <w:t xml:space="preserve">tolerance </w:t>
      </w:r>
      <w:r>
        <w:rPr>
          <w:rFonts w:ascii="Times New Roman" w:hAnsi="Times New Roman"/>
          <w:sz w:val="22"/>
          <w:szCs w:val="22"/>
        </w:rPr>
        <w:t xml:space="preserve">trait will be designed by selecting the most efficient subset of SNPs and validated by prediction accuracy through cross-validation. </w:t>
      </w:r>
      <w:r w:rsidR="00A874CF">
        <w:rPr>
          <w:rFonts w:ascii="Times New Roman" w:hAnsi="Times New Roman"/>
          <w:sz w:val="22"/>
          <w:szCs w:val="22"/>
        </w:rPr>
        <w:t>In addition, the dicamba injury data will be correlated to the yield dat</w:t>
      </w:r>
      <w:r w:rsidR="00CF5584">
        <w:rPr>
          <w:rFonts w:ascii="Times New Roman" w:hAnsi="Times New Roman"/>
          <w:sz w:val="22"/>
          <w:szCs w:val="22"/>
        </w:rPr>
        <w:t>a for selecting most tolerant and high yiel</w:t>
      </w:r>
      <w:r w:rsidR="00F367A9">
        <w:rPr>
          <w:rFonts w:ascii="Times New Roman" w:hAnsi="Times New Roman"/>
          <w:sz w:val="22"/>
          <w:szCs w:val="22"/>
        </w:rPr>
        <w:t xml:space="preserve">ding lines as compared to the </w:t>
      </w:r>
      <w:proofErr w:type="spellStart"/>
      <w:r w:rsidR="00F367A9">
        <w:rPr>
          <w:rFonts w:ascii="Times New Roman" w:hAnsi="Times New Roman"/>
          <w:sz w:val="22"/>
          <w:szCs w:val="22"/>
        </w:rPr>
        <w:t>X</w:t>
      </w:r>
      <w:r w:rsidR="00CF5584">
        <w:rPr>
          <w:rFonts w:ascii="Times New Roman" w:hAnsi="Times New Roman"/>
          <w:sz w:val="22"/>
          <w:szCs w:val="22"/>
        </w:rPr>
        <w:t>tend</w:t>
      </w:r>
      <w:proofErr w:type="spellEnd"/>
      <w:r w:rsidR="00CF5584">
        <w:rPr>
          <w:rFonts w:ascii="Times New Roman" w:hAnsi="Times New Roman"/>
          <w:sz w:val="22"/>
          <w:szCs w:val="22"/>
        </w:rPr>
        <w:t xml:space="preserve"> check varieties.</w:t>
      </w:r>
      <w:r w:rsidR="00A874CF">
        <w:rPr>
          <w:rFonts w:ascii="Times New Roman" w:hAnsi="Times New Roman"/>
          <w:sz w:val="22"/>
          <w:szCs w:val="22"/>
        </w:rPr>
        <w:t xml:space="preserve"> </w:t>
      </w:r>
      <w:r>
        <w:rPr>
          <w:rFonts w:ascii="Times New Roman" w:hAnsi="Times New Roman"/>
          <w:sz w:val="22"/>
          <w:szCs w:val="22"/>
        </w:rPr>
        <w:t xml:space="preserve">The selection and development of natural tolerant soybean varieties to Dicamba could potentially benefit Mid-south US growers that are </w:t>
      </w:r>
      <w:r w:rsidR="00AD1C2E">
        <w:rPr>
          <w:rFonts w:ascii="Times New Roman" w:hAnsi="Times New Roman"/>
          <w:sz w:val="22"/>
          <w:szCs w:val="22"/>
        </w:rPr>
        <w:t>growing</w:t>
      </w:r>
      <w:r>
        <w:rPr>
          <w:rFonts w:ascii="Times New Roman" w:hAnsi="Times New Roman"/>
          <w:sz w:val="22"/>
          <w:szCs w:val="22"/>
        </w:rPr>
        <w:t xml:space="preserve"> conventional or alternative herbicide-tolerant varieties. The identification of haplotypes conferring tolerance to Dicamba could also benefit public breeding programs that do not have legal authorization to incorporate the </w:t>
      </w:r>
      <w:proofErr w:type="spellStart"/>
      <w:r w:rsidR="00F367A9">
        <w:rPr>
          <w:rFonts w:ascii="Times New Roman" w:hAnsi="Times New Roman"/>
          <w:sz w:val="22"/>
          <w:szCs w:val="22"/>
        </w:rPr>
        <w:t>Xtend</w:t>
      </w:r>
      <w:proofErr w:type="spellEnd"/>
      <w:r w:rsidR="00AD1C2E">
        <w:rPr>
          <w:rFonts w:ascii="Times New Roman" w:hAnsi="Times New Roman"/>
          <w:sz w:val="22"/>
          <w:szCs w:val="22"/>
        </w:rPr>
        <w:t xml:space="preserve"> </w:t>
      </w:r>
      <w:r>
        <w:rPr>
          <w:rFonts w:ascii="Times New Roman" w:hAnsi="Times New Roman"/>
          <w:sz w:val="22"/>
          <w:szCs w:val="22"/>
        </w:rPr>
        <w:t>technology.</w:t>
      </w:r>
    </w:p>
    <w:p w14:paraId="4C48DD63" w14:textId="77777777" w:rsidR="00BB16F8" w:rsidRDefault="00BB16F8" w:rsidP="00BB16F8">
      <w:pPr>
        <w:widowControl w:val="0"/>
        <w:spacing w:after="0"/>
        <w:rPr>
          <w:rFonts w:ascii="Times New Roman" w:hAnsi="Times New Roman"/>
          <w:i/>
          <w:sz w:val="22"/>
          <w:szCs w:val="22"/>
        </w:rPr>
      </w:pPr>
    </w:p>
    <w:p w14:paraId="2261FAFB" w14:textId="77777777" w:rsidR="00BB16F8" w:rsidRPr="008678A0" w:rsidRDefault="00BB16F8" w:rsidP="00BB16F8">
      <w:pPr>
        <w:widowControl w:val="0"/>
        <w:spacing w:after="0"/>
        <w:jc w:val="center"/>
        <w:rPr>
          <w:rFonts w:ascii="Times New Roman" w:hAnsi="Times New Roman"/>
          <w:sz w:val="22"/>
          <w:szCs w:val="22"/>
        </w:rPr>
      </w:pPr>
      <w:r w:rsidRPr="008678A0">
        <w:rPr>
          <w:rFonts w:ascii="Times New Roman" w:hAnsi="Times New Roman"/>
          <w:b/>
          <w:sz w:val="22"/>
          <w:szCs w:val="22"/>
          <w:u w:val="single"/>
        </w:rPr>
        <w:t>OUTLINE OF RESEARCH</w:t>
      </w:r>
    </w:p>
    <w:p w14:paraId="23E624C2" w14:textId="77777777" w:rsidR="00BB16F8" w:rsidRPr="008678A0" w:rsidRDefault="00BB16F8" w:rsidP="00BB16F8">
      <w:pPr>
        <w:widowControl w:val="0"/>
        <w:spacing w:after="0"/>
        <w:jc w:val="center"/>
        <w:rPr>
          <w:rFonts w:ascii="Times New Roman" w:hAnsi="Times New Roman"/>
          <w:sz w:val="22"/>
          <w:szCs w:val="22"/>
        </w:rPr>
      </w:pPr>
    </w:p>
    <w:p w14:paraId="4F1CFB72" w14:textId="77777777" w:rsidR="00BB16F8" w:rsidRDefault="00BB16F8" w:rsidP="00BB16F8">
      <w:pPr>
        <w:widowControl w:val="0"/>
        <w:spacing w:after="0"/>
        <w:rPr>
          <w:rFonts w:ascii="Times New Roman" w:hAnsi="Times New Roman"/>
          <w:sz w:val="22"/>
          <w:szCs w:val="22"/>
        </w:rPr>
      </w:pPr>
      <w:r w:rsidRPr="008678A0">
        <w:rPr>
          <w:rFonts w:ascii="Times New Roman" w:hAnsi="Times New Roman"/>
          <w:b/>
          <w:sz w:val="22"/>
          <w:szCs w:val="22"/>
        </w:rPr>
        <w:t>RATIONALE/JUSTIFICATION FOR RESEARCH:</w:t>
      </w:r>
      <w:r w:rsidRPr="008678A0">
        <w:rPr>
          <w:rFonts w:ascii="Times New Roman" w:hAnsi="Times New Roman"/>
          <w:sz w:val="22"/>
          <w:szCs w:val="22"/>
        </w:rPr>
        <w:t xml:space="preserve"> </w:t>
      </w:r>
    </w:p>
    <w:p w14:paraId="25E71D81" w14:textId="77777777" w:rsidR="00BB16F8" w:rsidRDefault="00BB16F8" w:rsidP="00BB16F8">
      <w:pPr>
        <w:widowControl w:val="0"/>
        <w:spacing w:after="0"/>
        <w:rPr>
          <w:rFonts w:ascii="Times New Roman" w:hAnsi="Times New Roman"/>
          <w:i/>
          <w:sz w:val="22"/>
          <w:szCs w:val="22"/>
        </w:rPr>
      </w:pPr>
    </w:p>
    <w:p w14:paraId="2E63B694" w14:textId="77777777" w:rsidR="00BB16F8" w:rsidRDefault="00BB16F8" w:rsidP="00BB16F8">
      <w:pPr>
        <w:widowControl w:val="0"/>
        <w:spacing w:after="0"/>
        <w:rPr>
          <w:rFonts w:ascii="Times New Roman" w:hAnsi="Times New Roman"/>
          <w:sz w:val="22"/>
          <w:szCs w:val="22"/>
        </w:rPr>
      </w:pPr>
      <w:r>
        <w:rPr>
          <w:rFonts w:ascii="Times New Roman" w:hAnsi="Times New Roman"/>
          <w:sz w:val="22"/>
          <w:szCs w:val="22"/>
        </w:rPr>
        <w:t>Dicamba is a benzoic acid herbicide with auxin-like activity widely used in agricultural crops and pasture. It was first described in 1958, and later approved for use in the United States in 1962. Dicamba has recently gained popularity after the US Environmental Protection Agency (EPA) approval of a formulation to be used on dicamba-tolerant soybean in 2016. Since then, the adoption of this technology has widespread across the United States along with sever</w:t>
      </w:r>
      <w:r w:rsidR="00347538">
        <w:rPr>
          <w:rFonts w:ascii="Times New Roman" w:hAnsi="Times New Roman"/>
          <w:sz w:val="22"/>
          <w:szCs w:val="22"/>
        </w:rPr>
        <w:t>al reports of off-target damage</w:t>
      </w:r>
      <w:r>
        <w:rPr>
          <w:rFonts w:ascii="Times New Roman" w:hAnsi="Times New Roman"/>
          <w:sz w:val="22"/>
          <w:szCs w:val="22"/>
        </w:rPr>
        <w:t xml:space="preserve"> in non-tolerant soybean fields. In 2017 the United States Department of Agriculture (USDA) reported 2</w:t>
      </w:r>
      <w:r w:rsidR="00347538">
        <w:rPr>
          <w:rFonts w:ascii="Times New Roman" w:hAnsi="Times New Roman"/>
          <w:sz w:val="22"/>
          <w:szCs w:val="22"/>
        </w:rPr>
        <w:t>,</w:t>
      </w:r>
      <w:r>
        <w:rPr>
          <w:rFonts w:ascii="Times New Roman" w:hAnsi="Times New Roman"/>
          <w:sz w:val="22"/>
          <w:szCs w:val="22"/>
        </w:rPr>
        <w:t>708 official Dicamba-related injury investigations in soybean, of which over 2</w:t>
      </w:r>
      <w:r w:rsidR="00347538">
        <w:rPr>
          <w:rFonts w:ascii="Times New Roman" w:hAnsi="Times New Roman"/>
          <w:sz w:val="22"/>
          <w:szCs w:val="22"/>
        </w:rPr>
        <w:t>,</w:t>
      </w:r>
      <w:r>
        <w:rPr>
          <w:rFonts w:ascii="Times New Roman" w:hAnsi="Times New Roman"/>
          <w:sz w:val="22"/>
          <w:szCs w:val="22"/>
        </w:rPr>
        <w:t>300 were filed in Mid-south US states. This represented over 2.8 million soybean acres in Mid-south US that experienced some degree of drift injuries.</w:t>
      </w:r>
    </w:p>
    <w:p w14:paraId="42602801" w14:textId="77777777" w:rsidR="00BB16F8" w:rsidRDefault="00BB16F8" w:rsidP="00BB16F8">
      <w:pPr>
        <w:widowControl w:val="0"/>
        <w:spacing w:after="0"/>
        <w:rPr>
          <w:rFonts w:ascii="Times New Roman" w:hAnsi="Times New Roman"/>
          <w:sz w:val="22"/>
          <w:szCs w:val="22"/>
        </w:rPr>
      </w:pPr>
    </w:p>
    <w:p w14:paraId="7DEB78D7" w14:textId="77777777" w:rsidR="00BB16F8" w:rsidRDefault="00BB16F8" w:rsidP="00BB16F8">
      <w:pPr>
        <w:widowControl w:val="0"/>
        <w:spacing w:after="0"/>
        <w:rPr>
          <w:rFonts w:ascii="Times New Roman" w:hAnsi="Times New Roman"/>
          <w:sz w:val="22"/>
          <w:szCs w:val="22"/>
        </w:rPr>
      </w:pPr>
      <w:r>
        <w:rPr>
          <w:rFonts w:ascii="Times New Roman" w:hAnsi="Times New Roman"/>
          <w:sz w:val="22"/>
          <w:szCs w:val="22"/>
        </w:rPr>
        <w:t xml:space="preserve">Soybeans are naturally susceptible to Dicamba, and penalty in yield can be observed under doses as low as </w:t>
      </w:r>
      <w:r w:rsidRPr="00FF6433">
        <w:rPr>
          <w:rFonts w:ascii="Times New Roman" w:hAnsi="Times New Roman"/>
          <w:sz w:val="22"/>
          <w:szCs w:val="22"/>
        </w:rPr>
        <w:t>one twenty-thousandths of the 1x rate of 0.5 pounds of acid equivalent formulation per acre.</w:t>
      </w:r>
      <w:r>
        <w:rPr>
          <w:rFonts w:ascii="Times New Roman" w:hAnsi="Times New Roman"/>
          <w:sz w:val="22"/>
          <w:szCs w:val="22"/>
        </w:rPr>
        <w:t xml:space="preserve"> The most prominent symptoms are the abnormal leaf development known as cupping and plant stunting. The severity of the symptoms and yield penalty will vary based on the growth stage, dosage of exposure, and potential</w:t>
      </w:r>
      <w:r w:rsidR="002B7B60">
        <w:rPr>
          <w:rFonts w:ascii="Times New Roman" w:hAnsi="Times New Roman"/>
          <w:sz w:val="22"/>
          <w:szCs w:val="22"/>
        </w:rPr>
        <w:t>ly genetic background. Reports i</w:t>
      </w:r>
      <w:r>
        <w:rPr>
          <w:rFonts w:ascii="Times New Roman" w:hAnsi="Times New Roman"/>
          <w:sz w:val="22"/>
          <w:szCs w:val="22"/>
        </w:rPr>
        <w:t xml:space="preserve">n the literature indicate that soybeans are more </w:t>
      </w:r>
      <w:r w:rsidR="002B7B60">
        <w:rPr>
          <w:rFonts w:ascii="Times New Roman" w:hAnsi="Times New Roman"/>
          <w:sz w:val="22"/>
          <w:szCs w:val="22"/>
        </w:rPr>
        <w:t>sensitive to dicamba exposure at</w:t>
      </w:r>
      <w:r>
        <w:rPr>
          <w:rFonts w:ascii="Times New Roman" w:hAnsi="Times New Roman"/>
          <w:sz w:val="22"/>
          <w:szCs w:val="22"/>
        </w:rPr>
        <w:t xml:space="preserve"> flowering </w:t>
      </w:r>
      <w:r w:rsidR="002B7B60">
        <w:rPr>
          <w:rFonts w:ascii="Times New Roman" w:hAnsi="Times New Roman"/>
          <w:sz w:val="22"/>
          <w:szCs w:val="22"/>
        </w:rPr>
        <w:lastRenderedPageBreak/>
        <w:t>stage as</w:t>
      </w:r>
      <w:r>
        <w:rPr>
          <w:rFonts w:ascii="Times New Roman" w:hAnsi="Times New Roman"/>
          <w:sz w:val="22"/>
          <w:szCs w:val="22"/>
        </w:rPr>
        <w:t xml:space="preserve"> compared to vegetative stages. Visible injury symptoms of 30% in vegetative stages were unlikely to cause yield penalty greater than 5%. However, injury symptoms as little as 12% in reproductive stages were likely to cause yield penalty greater than 5%.</w:t>
      </w:r>
    </w:p>
    <w:p w14:paraId="4D87BF13" w14:textId="77777777" w:rsidR="00CB11A6" w:rsidRDefault="00CB11A6" w:rsidP="00BB16F8">
      <w:pPr>
        <w:widowControl w:val="0"/>
        <w:spacing w:after="0"/>
        <w:rPr>
          <w:rFonts w:ascii="Times New Roman" w:hAnsi="Times New Roman"/>
          <w:sz w:val="22"/>
          <w:szCs w:val="22"/>
        </w:rPr>
      </w:pPr>
    </w:p>
    <w:p w14:paraId="6BBA1630" w14:textId="77777777" w:rsidR="00CB11A6" w:rsidRDefault="00CB11A6" w:rsidP="00BB16F8">
      <w:pPr>
        <w:widowControl w:val="0"/>
        <w:spacing w:after="0"/>
        <w:rPr>
          <w:rFonts w:ascii="Times New Roman" w:hAnsi="Times New Roman"/>
          <w:sz w:val="22"/>
          <w:szCs w:val="22"/>
        </w:rPr>
      </w:pPr>
      <w:r w:rsidRPr="00CB11A6">
        <w:rPr>
          <w:rFonts w:ascii="Times New Roman" w:hAnsi="Times New Roman"/>
          <w:noProof/>
          <w:sz w:val="22"/>
          <w:szCs w:val="22"/>
          <w:lang w:eastAsia="en-US"/>
        </w:rPr>
        <w:drawing>
          <wp:inline distT="0" distB="0" distL="0" distR="0" wp14:anchorId="196E18CC" wp14:editId="2FBA127E">
            <wp:extent cx="6307911" cy="4240635"/>
            <wp:effectExtent l="0" t="0" r="0" b="7620"/>
            <wp:docPr id="2" name="Picture 2" descr="C:\Users\chenpe\AppData\Local\Microsoft\Windows\INetCache\Content.Outlook\DWP0PGPK\Dicamba 4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npe\AppData\Local\Microsoft\Windows\INetCache\Content.Outlook\DWP0PGPK\Dicamba 4 (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5397" cy="4245667"/>
                    </a:xfrm>
                    <a:prstGeom prst="rect">
                      <a:avLst/>
                    </a:prstGeom>
                    <a:noFill/>
                    <a:ln>
                      <a:noFill/>
                    </a:ln>
                  </pic:spPr>
                </pic:pic>
              </a:graphicData>
            </a:graphic>
          </wp:inline>
        </w:drawing>
      </w:r>
    </w:p>
    <w:p w14:paraId="5CF22AEB" w14:textId="77777777" w:rsidR="00D10B0D" w:rsidRDefault="00D10B0D" w:rsidP="00BB16F8">
      <w:pPr>
        <w:widowControl w:val="0"/>
        <w:spacing w:after="0"/>
        <w:rPr>
          <w:rFonts w:ascii="Times New Roman" w:hAnsi="Times New Roman"/>
          <w:sz w:val="22"/>
          <w:szCs w:val="22"/>
        </w:rPr>
      </w:pPr>
    </w:p>
    <w:p w14:paraId="51656066" w14:textId="77777777" w:rsidR="00BB16F8" w:rsidRDefault="00425E5B" w:rsidP="00BB16F8">
      <w:pPr>
        <w:widowControl w:val="0"/>
        <w:spacing w:after="0"/>
        <w:rPr>
          <w:rFonts w:ascii="Times New Roman" w:hAnsi="Times New Roman"/>
          <w:sz w:val="22"/>
          <w:szCs w:val="22"/>
        </w:rPr>
      </w:pPr>
      <w:r>
        <w:rPr>
          <w:rFonts w:ascii="Times New Roman" w:hAnsi="Times New Roman"/>
          <w:sz w:val="22"/>
          <w:szCs w:val="22"/>
        </w:rPr>
        <w:t xml:space="preserve">Figure 1. Soybean field with tests plots in Clarkton affected by </w:t>
      </w:r>
      <w:r w:rsidR="00F367A9">
        <w:rPr>
          <w:rFonts w:ascii="Times New Roman" w:hAnsi="Times New Roman"/>
          <w:sz w:val="22"/>
          <w:szCs w:val="22"/>
        </w:rPr>
        <w:t>Dicamba</w:t>
      </w:r>
      <w:r>
        <w:rPr>
          <w:rFonts w:ascii="Times New Roman" w:hAnsi="Times New Roman"/>
          <w:sz w:val="22"/>
          <w:szCs w:val="22"/>
        </w:rPr>
        <w:t xml:space="preserve"> </w:t>
      </w:r>
      <w:r w:rsidR="00F367A9">
        <w:rPr>
          <w:rFonts w:ascii="Times New Roman" w:hAnsi="Times New Roman"/>
          <w:sz w:val="22"/>
          <w:szCs w:val="22"/>
        </w:rPr>
        <w:t>off-target</w:t>
      </w:r>
      <w:r>
        <w:rPr>
          <w:rFonts w:ascii="Times New Roman" w:hAnsi="Times New Roman"/>
          <w:sz w:val="22"/>
          <w:szCs w:val="22"/>
        </w:rPr>
        <w:t xml:space="preserve"> damage.</w:t>
      </w:r>
    </w:p>
    <w:p w14:paraId="392FF987" w14:textId="77777777" w:rsidR="00425E5B" w:rsidRDefault="00425E5B" w:rsidP="00BB16F8">
      <w:pPr>
        <w:widowControl w:val="0"/>
        <w:spacing w:after="0"/>
        <w:rPr>
          <w:rFonts w:ascii="Times New Roman" w:hAnsi="Times New Roman"/>
          <w:sz w:val="22"/>
          <w:szCs w:val="22"/>
        </w:rPr>
      </w:pPr>
    </w:p>
    <w:p w14:paraId="00848D08" w14:textId="77777777" w:rsidR="007A2295" w:rsidRDefault="007A2295" w:rsidP="00BB16F8">
      <w:pPr>
        <w:widowControl w:val="0"/>
        <w:spacing w:after="0"/>
        <w:rPr>
          <w:rFonts w:ascii="Times New Roman" w:hAnsi="Times New Roman"/>
          <w:sz w:val="22"/>
          <w:szCs w:val="22"/>
        </w:rPr>
      </w:pPr>
      <w:r>
        <w:rPr>
          <w:noProof/>
          <w:lang w:eastAsia="en-US"/>
        </w:rPr>
        <w:drawing>
          <wp:anchor distT="0" distB="0" distL="114300" distR="114300" simplePos="0" relativeHeight="251659264" behindDoc="1" locked="0" layoutInCell="1" allowOverlap="1" wp14:anchorId="10643116" wp14:editId="6EBBCD24">
            <wp:simplePos x="0" y="0"/>
            <wp:positionH relativeFrom="column">
              <wp:posOffset>0</wp:posOffset>
            </wp:positionH>
            <wp:positionV relativeFrom="paragraph">
              <wp:posOffset>158750</wp:posOffset>
            </wp:positionV>
            <wp:extent cx="5943600" cy="2708971"/>
            <wp:effectExtent l="0" t="0" r="0" b="0"/>
            <wp:wrapTight wrapText="bothSides">
              <wp:wrapPolygon edited="0">
                <wp:start x="0" y="0"/>
                <wp:lineTo x="0" y="21418"/>
                <wp:lineTo x="21531" y="21418"/>
                <wp:lineTo x="21531"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78232F57" w14:textId="77777777" w:rsidR="007A2295" w:rsidRDefault="007A2295" w:rsidP="00BB16F8">
      <w:pPr>
        <w:widowControl w:val="0"/>
        <w:spacing w:after="0"/>
        <w:rPr>
          <w:rFonts w:ascii="Times New Roman" w:hAnsi="Times New Roman"/>
          <w:sz w:val="22"/>
          <w:szCs w:val="22"/>
        </w:rPr>
      </w:pPr>
    </w:p>
    <w:p w14:paraId="78DC08BA" w14:textId="77777777" w:rsidR="007A2295" w:rsidRDefault="007A2295" w:rsidP="00BB16F8">
      <w:pPr>
        <w:widowControl w:val="0"/>
        <w:spacing w:after="0"/>
        <w:rPr>
          <w:rFonts w:ascii="Times New Roman" w:hAnsi="Times New Roman"/>
          <w:sz w:val="22"/>
          <w:szCs w:val="22"/>
        </w:rPr>
      </w:pPr>
    </w:p>
    <w:p w14:paraId="2C47B125" w14:textId="77777777" w:rsidR="007A2295" w:rsidRDefault="007A2295" w:rsidP="00BB16F8">
      <w:pPr>
        <w:widowControl w:val="0"/>
        <w:spacing w:after="0"/>
        <w:rPr>
          <w:rFonts w:ascii="Times New Roman" w:hAnsi="Times New Roman"/>
          <w:sz w:val="22"/>
          <w:szCs w:val="22"/>
        </w:rPr>
      </w:pPr>
    </w:p>
    <w:p w14:paraId="5563AFBB" w14:textId="77777777" w:rsidR="007A2295" w:rsidRDefault="007A2295" w:rsidP="00BB16F8">
      <w:pPr>
        <w:widowControl w:val="0"/>
        <w:spacing w:after="0"/>
        <w:rPr>
          <w:rFonts w:ascii="Times New Roman" w:hAnsi="Times New Roman"/>
          <w:sz w:val="22"/>
          <w:szCs w:val="22"/>
        </w:rPr>
      </w:pPr>
    </w:p>
    <w:p w14:paraId="6C598A39" w14:textId="77777777" w:rsidR="007A2295" w:rsidRDefault="007A2295" w:rsidP="00BB16F8">
      <w:pPr>
        <w:widowControl w:val="0"/>
        <w:spacing w:after="0"/>
        <w:rPr>
          <w:rFonts w:ascii="Times New Roman" w:hAnsi="Times New Roman"/>
          <w:sz w:val="22"/>
          <w:szCs w:val="22"/>
        </w:rPr>
      </w:pPr>
    </w:p>
    <w:p w14:paraId="42189F1F" w14:textId="77777777" w:rsidR="007A2295" w:rsidRDefault="007A2295" w:rsidP="00BB16F8">
      <w:pPr>
        <w:widowControl w:val="0"/>
        <w:spacing w:after="0"/>
        <w:rPr>
          <w:rFonts w:ascii="Times New Roman" w:hAnsi="Times New Roman"/>
          <w:sz w:val="22"/>
          <w:szCs w:val="22"/>
        </w:rPr>
      </w:pPr>
    </w:p>
    <w:p w14:paraId="459D5030" w14:textId="77777777" w:rsidR="007A2295" w:rsidRDefault="007A2295" w:rsidP="00BB16F8">
      <w:pPr>
        <w:widowControl w:val="0"/>
        <w:spacing w:after="0"/>
        <w:rPr>
          <w:rFonts w:ascii="Times New Roman" w:hAnsi="Times New Roman"/>
          <w:sz w:val="22"/>
          <w:szCs w:val="22"/>
        </w:rPr>
      </w:pPr>
    </w:p>
    <w:p w14:paraId="3F1A18CE" w14:textId="77777777" w:rsidR="007A2295" w:rsidRDefault="007A2295" w:rsidP="00BB16F8">
      <w:pPr>
        <w:widowControl w:val="0"/>
        <w:spacing w:after="0"/>
        <w:rPr>
          <w:rFonts w:ascii="Times New Roman" w:hAnsi="Times New Roman"/>
          <w:sz w:val="22"/>
          <w:szCs w:val="22"/>
        </w:rPr>
      </w:pPr>
    </w:p>
    <w:p w14:paraId="673668BB" w14:textId="77777777" w:rsidR="007A2295" w:rsidRDefault="007A2295" w:rsidP="00BB16F8">
      <w:pPr>
        <w:widowControl w:val="0"/>
        <w:spacing w:after="0"/>
        <w:rPr>
          <w:rFonts w:ascii="Times New Roman" w:hAnsi="Times New Roman"/>
          <w:sz w:val="22"/>
          <w:szCs w:val="22"/>
        </w:rPr>
      </w:pPr>
    </w:p>
    <w:p w14:paraId="2D5CBC3B" w14:textId="77777777" w:rsidR="007A2295" w:rsidRDefault="007A2295" w:rsidP="00BB16F8">
      <w:pPr>
        <w:widowControl w:val="0"/>
        <w:spacing w:after="0"/>
        <w:rPr>
          <w:rFonts w:ascii="Times New Roman" w:hAnsi="Times New Roman"/>
          <w:sz w:val="22"/>
          <w:szCs w:val="22"/>
        </w:rPr>
      </w:pPr>
    </w:p>
    <w:p w14:paraId="59ADE54B" w14:textId="77777777" w:rsidR="007A2295" w:rsidRDefault="007A2295" w:rsidP="00BB16F8">
      <w:pPr>
        <w:widowControl w:val="0"/>
        <w:spacing w:after="0"/>
        <w:rPr>
          <w:rFonts w:ascii="Times New Roman" w:hAnsi="Times New Roman"/>
          <w:sz w:val="22"/>
          <w:szCs w:val="22"/>
        </w:rPr>
      </w:pPr>
    </w:p>
    <w:p w14:paraId="7F42617B" w14:textId="77777777" w:rsidR="007A2295" w:rsidRDefault="007A2295" w:rsidP="00BB16F8">
      <w:pPr>
        <w:widowControl w:val="0"/>
        <w:spacing w:after="0"/>
        <w:rPr>
          <w:rFonts w:ascii="Times New Roman" w:hAnsi="Times New Roman"/>
          <w:sz w:val="22"/>
          <w:szCs w:val="22"/>
        </w:rPr>
      </w:pPr>
    </w:p>
    <w:p w14:paraId="30A2B9D3" w14:textId="77777777" w:rsidR="007A2295" w:rsidRDefault="007A2295" w:rsidP="00BB16F8">
      <w:pPr>
        <w:widowControl w:val="0"/>
        <w:spacing w:after="0"/>
        <w:rPr>
          <w:rFonts w:ascii="Times New Roman" w:hAnsi="Times New Roman"/>
          <w:sz w:val="22"/>
          <w:szCs w:val="22"/>
        </w:rPr>
      </w:pPr>
    </w:p>
    <w:p w14:paraId="6DBF9D28" w14:textId="77777777" w:rsidR="007A2295" w:rsidRDefault="007A2295" w:rsidP="00BB16F8">
      <w:pPr>
        <w:widowControl w:val="0"/>
        <w:spacing w:after="0"/>
        <w:rPr>
          <w:rFonts w:ascii="Times New Roman" w:hAnsi="Times New Roman"/>
          <w:sz w:val="22"/>
          <w:szCs w:val="22"/>
        </w:rPr>
      </w:pPr>
    </w:p>
    <w:p w14:paraId="6AFCE8A3" w14:textId="77777777" w:rsidR="007A2295" w:rsidRDefault="007A2295" w:rsidP="00BB16F8">
      <w:pPr>
        <w:widowControl w:val="0"/>
        <w:spacing w:after="0"/>
        <w:rPr>
          <w:rFonts w:ascii="Times New Roman" w:hAnsi="Times New Roman"/>
          <w:sz w:val="22"/>
          <w:szCs w:val="22"/>
        </w:rPr>
      </w:pPr>
    </w:p>
    <w:p w14:paraId="03759EA5" w14:textId="77777777" w:rsidR="007A2295" w:rsidRDefault="007A2295" w:rsidP="00BB16F8">
      <w:pPr>
        <w:widowControl w:val="0"/>
        <w:spacing w:after="0"/>
        <w:rPr>
          <w:rFonts w:ascii="Times New Roman" w:hAnsi="Times New Roman"/>
          <w:sz w:val="22"/>
          <w:szCs w:val="22"/>
        </w:rPr>
      </w:pPr>
    </w:p>
    <w:p w14:paraId="5253C2EF" w14:textId="77777777" w:rsidR="007A2295" w:rsidRDefault="007A2295" w:rsidP="00BB16F8">
      <w:pPr>
        <w:widowControl w:val="0"/>
        <w:spacing w:after="0"/>
        <w:rPr>
          <w:rFonts w:ascii="Times New Roman" w:hAnsi="Times New Roman"/>
          <w:sz w:val="22"/>
          <w:szCs w:val="22"/>
        </w:rPr>
      </w:pPr>
    </w:p>
    <w:p w14:paraId="726A1DFE" w14:textId="77777777" w:rsidR="007A2295" w:rsidRDefault="007A2295" w:rsidP="00BB16F8">
      <w:pPr>
        <w:widowControl w:val="0"/>
        <w:spacing w:after="0"/>
        <w:rPr>
          <w:rFonts w:ascii="Times New Roman" w:hAnsi="Times New Roman"/>
          <w:sz w:val="22"/>
          <w:szCs w:val="22"/>
        </w:rPr>
      </w:pPr>
    </w:p>
    <w:p w14:paraId="6C0D8AF0" w14:textId="77777777" w:rsidR="007A2295" w:rsidRDefault="007A2295" w:rsidP="007A2295">
      <w:pPr>
        <w:widowControl w:val="0"/>
        <w:spacing w:after="0"/>
        <w:rPr>
          <w:rFonts w:ascii="Times New Roman" w:hAnsi="Times New Roman"/>
          <w:sz w:val="22"/>
          <w:szCs w:val="22"/>
        </w:rPr>
      </w:pPr>
      <w:r>
        <w:rPr>
          <w:rFonts w:ascii="Times New Roman" w:hAnsi="Times New Roman"/>
          <w:sz w:val="22"/>
          <w:szCs w:val="22"/>
        </w:rPr>
        <w:t>Figure 2. Soybean response to dicamb</w:t>
      </w:r>
      <w:r w:rsidR="00D42080">
        <w:rPr>
          <w:rFonts w:ascii="Times New Roman" w:hAnsi="Times New Roman"/>
          <w:sz w:val="22"/>
          <w:szCs w:val="22"/>
        </w:rPr>
        <w:t>a off-target exposure evaluated</w:t>
      </w:r>
      <w:r>
        <w:rPr>
          <w:rFonts w:ascii="Times New Roman" w:hAnsi="Times New Roman"/>
          <w:sz w:val="22"/>
          <w:szCs w:val="22"/>
        </w:rPr>
        <w:t xml:space="preserve"> across 650 field plots in 2019.</w:t>
      </w:r>
    </w:p>
    <w:p w14:paraId="5E980828" w14:textId="77777777" w:rsidR="007A2295" w:rsidRDefault="00BB16F8" w:rsidP="00BB16F8">
      <w:pPr>
        <w:widowControl w:val="0"/>
        <w:spacing w:after="0"/>
        <w:rPr>
          <w:rFonts w:ascii="Times New Roman" w:hAnsi="Times New Roman"/>
          <w:sz w:val="22"/>
          <w:szCs w:val="22"/>
        </w:rPr>
      </w:pPr>
      <w:r>
        <w:rPr>
          <w:rFonts w:ascii="Times New Roman" w:hAnsi="Times New Roman"/>
          <w:sz w:val="22"/>
          <w:szCs w:val="22"/>
        </w:rPr>
        <w:lastRenderedPageBreak/>
        <w:t>A consistent different level of response to off-target dicamba exposure has been observed at the University of Missouri</w:t>
      </w:r>
      <w:r w:rsidR="00335333">
        <w:rPr>
          <w:rFonts w:ascii="Times New Roman" w:hAnsi="Times New Roman"/>
          <w:sz w:val="22"/>
          <w:szCs w:val="22"/>
        </w:rPr>
        <w:t xml:space="preserve"> – Delta Center</w:t>
      </w:r>
      <w:r>
        <w:rPr>
          <w:rFonts w:ascii="Times New Roman" w:hAnsi="Times New Roman"/>
          <w:sz w:val="22"/>
          <w:szCs w:val="22"/>
        </w:rPr>
        <w:t xml:space="preserve">. In 2019, a field assay across 650 </w:t>
      </w:r>
      <w:r w:rsidR="00335333">
        <w:rPr>
          <w:rFonts w:ascii="Times New Roman" w:hAnsi="Times New Roman"/>
          <w:sz w:val="22"/>
          <w:szCs w:val="22"/>
        </w:rPr>
        <w:t xml:space="preserve">soybean yield </w:t>
      </w:r>
      <w:r>
        <w:rPr>
          <w:rFonts w:ascii="Times New Roman" w:hAnsi="Times New Roman"/>
          <w:sz w:val="22"/>
          <w:szCs w:val="22"/>
        </w:rPr>
        <w:t>plots exposed to severe Dicamba off-</w:t>
      </w:r>
    </w:p>
    <w:p w14:paraId="097DC0D3" w14:textId="77777777" w:rsidR="00BB16F8" w:rsidRDefault="00BB16F8" w:rsidP="00BB16F8">
      <w:pPr>
        <w:widowControl w:val="0"/>
        <w:spacing w:after="0"/>
        <w:rPr>
          <w:rFonts w:ascii="Times New Roman" w:hAnsi="Times New Roman"/>
          <w:sz w:val="22"/>
          <w:szCs w:val="22"/>
        </w:rPr>
      </w:pPr>
      <w:r>
        <w:rPr>
          <w:rFonts w:ascii="Times New Roman" w:hAnsi="Times New Roman"/>
          <w:sz w:val="22"/>
          <w:szCs w:val="22"/>
        </w:rPr>
        <w:t>target damage in vegetative stage V4 indicated that severity of symptoms in non</w:t>
      </w:r>
      <w:r w:rsidR="00335333">
        <w:rPr>
          <w:rFonts w:ascii="Times New Roman" w:hAnsi="Times New Roman"/>
          <w:sz w:val="22"/>
          <w:szCs w:val="22"/>
        </w:rPr>
        <w:t>-</w:t>
      </w:r>
      <w:proofErr w:type="spellStart"/>
      <w:r w:rsidR="00F367A9">
        <w:rPr>
          <w:rFonts w:ascii="Times New Roman" w:hAnsi="Times New Roman"/>
          <w:sz w:val="22"/>
          <w:szCs w:val="22"/>
        </w:rPr>
        <w:t>Xtend</w:t>
      </w:r>
      <w:proofErr w:type="spellEnd"/>
      <w:r>
        <w:rPr>
          <w:rFonts w:ascii="Times New Roman" w:hAnsi="Times New Roman"/>
          <w:sz w:val="22"/>
          <w:szCs w:val="22"/>
        </w:rPr>
        <w:t xml:space="preserve"> soybeans ranged from mild (2) to severe (5), while dicamba-tolerant checks consistently demonstrated</w:t>
      </w:r>
      <w:r w:rsidR="00BE7EAC">
        <w:rPr>
          <w:rFonts w:ascii="Times New Roman" w:hAnsi="Times New Roman"/>
          <w:sz w:val="22"/>
          <w:szCs w:val="22"/>
        </w:rPr>
        <w:t xml:space="preserve"> absence of symptoms (1) (Figures 1-3</w:t>
      </w:r>
      <w:r>
        <w:rPr>
          <w:rFonts w:ascii="Times New Roman" w:hAnsi="Times New Roman"/>
          <w:sz w:val="22"/>
          <w:szCs w:val="22"/>
        </w:rPr>
        <w:t xml:space="preserve">). This differentiation in response represents an opportunity to select </w:t>
      </w:r>
      <w:r w:rsidR="00DB495C">
        <w:rPr>
          <w:rFonts w:ascii="Times New Roman" w:hAnsi="Times New Roman"/>
          <w:sz w:val="22"/>
          <w:szCs w:val="22"/>
        </w:rPr>
        <w:t>natural</w:t>
      </w:r>
      <w:r>
        <w:rPr>
          <w:rFonts w:ascii="Times New Roman" w:hAnsi="Times New Roman"/>
          <w:sz w:val="22"/>
          <w:szCs w:val="22"/>
        </w:rPr>
        <w:t xml:space="preserve"> dicamba-tolerant soybeans</w:t>
      </w:r>
      <w:r w:rsidR="00DB495C">
        <w:rPr>
          <w:rFonts w:ascii="Times New Roman" w:hAnsi="Times New Roman"/>
          <w:sz w:val="22"/>
          <w:szCs w:val="22"/>
        </w:rPr>
        <w:t xml:space="preserve"> and to</w:t>
      </w:r>
      <w:r>
        <w:rPr>
          <w:rFonts w:ascii="Times New Roman" w:hAnsi="Times New Roman"/>
          <w:sz w:val="22"/>
          <w:szCs w:val="22"/>
        </w:rPr>
        <w:t xml:space="preserve"> identify the genetic variations </w:t>
      </w:r>
      <w:r w:rsidR="00DB495C">
        <w:rPr>
          <w:rFonts w:ascii="Times New Roman" w:hAnsi="Times New Roman"/>
          <w:sz w:val="22"/>
          <w:szCs w:val="22"/>
        </w:rPr>
        <w:t>underlying the differential response</w:t>
      </w:r>
      <w:r>
        <w:rPr>
          <w:rFonts w:ascii="Times New Roman" w:hAnsi="Times New Roman"/>
          <w:sz w:val="22"/>
          <w:szCs w:val="22"/>
        </w:rPr>
        <w:t>. Currently, no literature is available on the genetic variations causing different responses to dicamba exposure.</w:t>
      </w:r>
    </w:p>
    <w:p w14:paraId="385B0D69" w14:textId="77777777" w:rsidR="00BB16F8" w:rsidRDefault="00BB16F8" w:rsidP="00BB16F8">
      <w:pPr>
        <w:widowControl w:val="0"/>
        <w:spacing w:after="0"/>
        <w:rPr>
          <w:rFonts w:ascii="Times New Roman" w:hAnsi="Times New Roman"/>
          <w:sz w:val="22"/>
          <w:szCs w:val="22"/>
        </w:rPr>
      </w:pPr>
    </w:p>
    <w:p w14:paraId="181E35CF" w14:textId="77777777" w:rsidR="002F7FD5" w:rsidRDefault="002F7FD5" w:rsidP="00BB16F8">
      <w:pPr>
        <w:widowControl w:val="0"/>
        <w:spacing w:after="0"/>
        <w:rPr>
          <w:rFonts w:ascii="Times New Roman" w:hAnsi="Times New Roman"/>
          <w:sz w:val="22"/>
          <w:szCs w:val="22"/>
        </w:rPr>
      </w:pPr>
    </w:p>
    <w:p w14:paraId="5A0316AC" w14:textId="77777777" w:rsidR="002F7FD5" w:rsidRDefault="002F7FD5" w:rsidP="00BB16F8">
      <w:pPr>
        <w:widowControl w:val="0"/>
        <w:spacing w:after="0"/>
        <w:rPr>
          <w:rFonts w:ascii="Times New Roman" w:hAnsi="Times New Roman"/>
          <w:sz w:val="22"/>
          <w:szCs w:val="22"/>
        </w:rPr>
      </w:pPr>
      <w:r>
        <w:rPr>
          <w:rFonts w:ascii="Times New Roman" w:hAnsi="Times New Roman"/>
          <w:noProof/>
          <w:sz w:val="22"/>
          <w:szCs w:val="22"/>
          <w:lang w:eastAsia="en-US"/>
        </w:rPr>
        <w:drawing>
          <wp:inline distT="0" distB="0" distL="0" distR="0" wp14:anchorId="35B9C81A" wp14:editId="333E682F">
            <wp:extent cx="6305550" cy="20834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5550" cy="2083435"/>
                    </a:xfrm>
                    <a:prstGeom prst="rect">
                      <a:avLst/>
                    </a:prstGeom>
                    <a:noFill/>
                    <a:ln>
                      <a:noFill/>
                    </a:ln>
                  </pic:spPr>
                </pic:pic>
              </a:graphicData>
            </a:graphic>
          </wp:inline>
        </w:drawing>
      </w:r>
    </w:p>
    <w:p w14:paraId="4389A178" w14:textId="77777777" w:rsidR="002F7FD5" w:rsidRDefault="00BB16F8" w:rsidP="002F7FD5">
      <w:pPr>
        <w:widowControl w:val="0"/>
        <w:spacing w:after="0"/>
        <w:rPr>
          <w:rFonts w:ascii="Times New Roman" w:hAnsi="Times New Roman"/>
          <w:sz w:val="22"/>
          <w:szCs w:val="22"/>
        </w:rPr>
      </w:pPr>
      <w:r>
        <w:rPr>
          <w:rFonts w:ascii="Times New Roman" w:hAnsi="Times New Roman"/>
          <w:sz w:val="22"/>
          <w:szCs w:val="22"/>
        </w:rPr>
        <w:t xml:space="preserve"> </w:t>
      </w:r>
      <w:r w:rsidR="00425E5B">
        <w:rPr>
          <w:rFonts w:ascii="Times New Roman" w:hAnsi="Times New Roman"/>
          <w:sz w:val="22"/>
          <w:szCs w:val="22"/>
        </w:rPr>
        <w:t>Figure 3</w:t>
      </w:r>
      <w:r w:rsidR="002F7FD5">
        <w:rPr>
          <w:rFonts w:ascii="Times New Roman" w:hAnsi="Times New Roman"/>
          <w:sz w:val="22"/>
          <w:szCs w:val="22"/>
        </w:rPr>
        <w:t>. Representation of different degrees of off-site injury caused by Dicamba in a 1-5 scale.</w:t>
      </w:r>
    </w:p>
    <w:p w14:paraId="12046265" w14:textId="77777777" w:rsidR="00BB16F8" w:rsidRDefault="00BB16F8" w:rsidP="00BB16F8">
      <w:pPr>
        <w:widowControl w:val="0"/>
        <w:spacing w:after="0"/>
        <w:rPr>
          <w:rFonts w:ascii="Times New Roman" w:hAnsi="Times New Roman"/>
          <w:sz w:val="22"/>
          <w:szCs w:val="22"/>
        </w:rPr>
      </w:pPr>
    </w:p>
    <w:p w14:paraId="4D3F8273" w14:textId="77777777" w:rsidR="002F7FD5" w:rsidRPr="008678A0" w:rsidRDefault="002F7FD5" w:rsidP="00BB16F8">
      <w:pPr>
        <w:widowControl w:val="0"/>
        <w:spacing w:after="0"/>
        <w:rPr>
          <w:rFonts w:ascii="Times New Roman" w:hAnsi="Times New Roman"/>
          <w:sz w:val="22"/>
          <w:szCs w:val="22"/>
        </w:rPr>
      </w:pPr>
    </w:p>
    <w:p w14:paraId="187C53BD" w14:textId="77777777" w:rsidR="00BB16F8" w:rsidRDefault="00BB16F8" w:rsidP="00BB16F8">
      <w:pPr>
        <w:widowControl w:val="0"/>
        <w:spacing w:after="0"/>
        <w:rPr>
          <w:rFonts w:ascii="Times New Roman" w:hAnsi="Times New Roman"/>
          <w:b/>
          <w:sz w:val="22"/>
          <w:szCs w:val="22"/>
        </w:rPr>
      </w:pPr>
      <w:r w:rsidRPr="008678A0">
        <w:rPr>
          <w:rFonts w:ascii="Times New Roman" w:hAnsi="Times New Roman"/>
          <w:b/>
          <w:sz w:val="22"/>
          <w:szCs w:val="22"/>
        </w:rPr>
        <w:t>OBJECTIVE(S):</w:t>
      </w:r>
      <w:r>
        <w:rPr>
          <w:rFonts w:ascii="Times New Roman" w:hAnsi="Times New Roman"/>
          <w:b/>
          <w:sz w:val="22"/>
          <w:szCs w:val="22"/>
        </w:rPr>
        <w:t xml:space="preserve"> </w:t>
      </w:r>
    </w:p>
    <w:p w14:paraId="74A54AF4" w14:textId="77777777" w:rsidR="00BB16F8" w:rsidRDefault="00BB16F8" w:rsidP="00BB16F8">
      <w:pPr>
        <w:widowControl w:val="0"/>
        <w:spacing w:after="0"/>
        <w:rPr>
          <w:rFonts w:ascii="Times New Roman" w:hAnsi="Times New Roman"/>
          <w:b/>
          <w:sz w:val="22"/>
          <w:szCs w:val="22"/>
        </w:rPr>
      </w:pPr>
    </w:p>
    <w:p w14:paraId="043975EB" w14:textId="77777777" w:rsidR="00BB16F8" w:rsidRDefault="00BB16F8" w:rsidP="00BB16F8">
      <w:pPr>
        <w:widowControl w:val="0"/>
        <w:spacing w:after="0"/>
        <w:rPr>
          <w:rFonts w:ascii="Times New Roman" w:hAnsi="Times New Roman"/>
          <w:sz w:val="22"/>
          <w:szCs w:val="22"/>
        </w:rPr>
      </w:pPr>
      <w:r>
        <w:rPr>
          <w:rFonts w:ascii="Times New Roman" w:hAnsi="Times New Roman"/>
          <w:sz w:val="22"/>
          <w:szCs w:val="22"/>
        </w:rPr>
        <w:t>The objectives of t</w:t>
      </w:r>
      <w:r w:rsidR="00A447CB">
        <w:rPr>
          <w:rFonts w:ascii="Times New Roman" w:hAnsi="Times New Roman"/>
          <w:sz w:val="22"/>
          <w:szCs w:val="22"/>
        </w:rPr>
        <w:t>his research proposal are to 1</w:t>
      </w:r>
      <w:r w:rsidR="00F367A9">
        <w:rPr>
          <w:rFonts w:ascii="Times New Roman" w:hAnsi="Times New Roman"/>
          <w:sz w:val="22"/>
          <w:szCs w:val="22"/>
        </w:rPr>
        <w:t>) characterize</w:t>
      </w:r>
      <w:r w:rsidR="00FE604C">
        <w:rPr>
          <w:rFonts w:ascii="Times New Roman" w:hAnsi="Times New Roman"/>
          <w:sz w:val="22"/>
          <w:szCs w:val="22"/>
        </w:rPr>
        <w:t xml:space="preserve"> the diffe</w:t>
      </w:r>
      <w:r w:rsidR="00060F40">
        <w:rPr>
          <w:rFonts w:ascii="Times New Roman" w:hAnsi="Times New Roman"/>
          <w:sz w:val="22"/>
          <w:szCs w:val="22"/>
        </w:rPr>
        <w:t>rential response to D</w:t>
      </w:r>
      <w:r w:rsidR="00A447CB">
        <w:rPr>
          <w:rFonts w:ascii="Times New Roman" w:hAnsi="Times New Roman"/>
          <w:sz w:val="22"/>
          <w:szCs w:val="22"/>
        </w:rPr>
        <w:t xml:space="preserve">icamba drift </w:t>
      </w:r>
      <w:r w:rsidR="00F367A9">
        <w:rPr>
          <w:rFonts w:ascii="Times New Roman" w:hAnsi="Times New Roman"/>
          <w:sz w:val="22"/>
          <w:szCs w:val="22"/>
        </w:rPr>
        <w:t>damage</w:t>
      </w:r>
      <w:r w:rsidR="00A447CB">
        <w:rPr>
          <w:rFonts w:ascii="Times New Roman" w:hAnsi="Times New Roman"/>
          <w:sz w:val="22"/>
          <w:szCs w:val="22"/>
        </w:rPr>
        <w:t>, 2</w:t>
      </w:r>
      <w:r w:rsidR="00FE604C">
        <w:rPr>
          <w:rFonts w:ascii="Times New Roman" w:hAnsi="Times New Roman"/>
          <w:sz w:val="22"/>
          <w:szCs w:val="22"/>
        </w:rPr>
        <w:t xml:space="preserve">) </w:t>
      </w:r>
      <w:r>
        <w:rPr>
          <w:rFonts w:ascii="Times New Roman" w:hAnsi="Times New Roman"/>
          <w:sz w:val="22"/>
          <w:szCs w:val="22"/>
        </w:rPr>
        <w:t>identify regions of the soybean genome regulating tolerance to Dicamba through genom</w:t>
      </w:r>
      <w:r w:rsidR="00A447CB">
        <w:rPr>
          <w:rFonts w:ascii="Times New Roman" w:hAnsi="Times New Roman"/>
          <w:sz w:val="22"/>
          <w:szCs w:val="22"/>
        </w:rPr>
        <w:t>e wide association studies; 3</w:t>
      </w:r>
      <w:r w:rsidR="00F367A9">
        <w:rPr>
          <w:rFonts w:ascii="Times New Roman" w:hAnsi="Times New Roman"/>
          <w:sz w:val="22"/>
          <w:szCs w:val="22"/>
        </w:rPr>
        <w:t>) select</w:t>
      </w:r>
      <w:r>
        <w:rPr>
          <w:rFonts w:ascii="Times New Roman" w:hAnsi="Times New Roman"/>
          <w:sz w:val="22"/>
          <w:szCs w:val="22"/>
        </w:rPr>
        <w:t xml:space="preserve"> and develop soybean </w:t>
      </w:r>
      <w:r w:rsidR="00060F40">
        <w:rPr>
          <w:rFonts w:ascii="Times New Roman" w:hAnsi="Times New Roman"/>
          <w:sz w:val="22"/>
          <w:szCs w:val="22"/>
        </w:rPr>
        <w:t>lines</w:t>
      </w:r>
      <w:r>
        <w:rPr>
          <w:rFonts w:ascii="Times New Roman" w:hAnsi="Times New Roman"/>
          <w:sz w:val="22"/>
          <w:szCs w:val="22"/>
        </w:rPr>
        <w:t xml:space="preserve"> adapted to mid-south United States with enhanced natur</w:t>
      </w:r>
      <w:r w:rsidR="00A447CB">
        <w:rPr>
          <w:rFonts w:ascii="Times New Roman" w:hAnsi="Times New Roman"/>
          <w:sz w:val="22"/>
          <w:szCs w:val="22"/>
        </w:rPr>
        <w:t>al tolerance to Dicamba; and 4</w:t>
      </w:r>
      <w:r w:rsidR="00F367A9">
        <w:rPr>
          <w:rFonts w:ascii="Times New Roman" w:hAnsi="Times New Roman"/>
          <w:sz w:val="22"/>
          <w:szCs w:val="22"/>
        </w:rPr>
        <w:t>) design</w:t>
      </w:r>
      <w:r>
        <w:rPr>
          <w:rFonts w:ascii="Times New Roman" w:hAnsi="Times New Roman"/>
          <w:sz w:val="22"/>
          <w:szCs w:val="22"/>
        </w:rPr>
        <w:t xml:space="preserve"> and implement haplotypes tolerant to Dicamba to fasten the development of tolerant soybean cultivars.</w:t>
      </w:r>
    </w:p>
    <w:p w14:paraId="2B6D74D7" w14:textId="77777777" w:rsidR="00BB16F8" w:rsidRPr="008678A0" w:rsidRDefault="00BB16F8" w:rsidP="00BB16F8">
      <w:pPr>
        <w:widowControl w:val="0"/>
        <w:spacing w:after="0"/>
        <w:rPr>
          <w:rFonts w:ascii="Times New Roman" w:hAnsi="Times New Roman"/>
          <w:sz w:val="22"/>
          <w:szCs w:val="22"/>
        </w:rPr>
      </w:pPr>
    </w:p>
    <w:p w14:paraId="212825FD" w14:textId="77777777" w:rsidR="00BB16F8" w:rsidRPr="008678A0" w:rsidRDefault="00BB16F8" w:rsidP="00BB16F8">
      <w:pPr>
        <w:widowControl w:val="0"/>
        <w:spacing w:after="0"/>
        <w:rPr>
          <w:rFonts w:ascii="Times New Roman" w:hAnsi="Times New Roman"/>
          <w:i/>
          <w:sz w:val="22"/>
          <w:szCs w:val="22"/>
        </w:rPr>
      </w:pPr>
      <w:r w:rsidRPr="008678A0">
        <w:rPr>
          <w:rFonts w:ascii="Times New Roman" w:hAnsi="Times New Roman"/>
          <w:b/>
          <w:sz w:val="22"/>
          <w:szCs w:val="22"/>
        </w:rPr>
        <w:t>APPROACH AND EXPERIMENT CONDUCT:</w:t>
      </w:r>
      <w:r w:rsidRPr="008678A0">
        <w:rPr>
          <w:rFonts w:ascii="Times New Roman" w:hAnsi="Times New Roman"/>
          <w:i/>
          <w:sz w:val="22"/>
          <w:szCs w:val="22"/>
        </w:rPr>
        <w:t xml:space="preserve"> </w:t>
      </w:r>
    </w:p>
    <w:p w14:paraId="1C461223" w14:textId="77777777" w:rsidR="00BB16F8" w:rsidRDefault="00BB16F8" w:rsidP="00BB16F8">
      <w:pPr>
        <w:widowControl w:val="0"/>
        <w:spacing w:after="0"/>
        <w:rPr>
          <w:rFonts w:ascii="Times New Roman" w:hAnsi="Times New Roman"/>
          <w:sz w:val="22"/>
          <w:szCs w:val="22"/>
        </w:rPr>
      </w:pPr>
    </w:p>
    <w:p w14:paraId="4732772C" w14:textId="77777777" w:rsidR="00067AC2" w:rsidRDefault="00BB16F8" w:rsidP="00BB16F8">
      <w:pPr>
        <w:widowControl w:val="0"/>
        <w:spacing w:after="0"/>
        <w:rPr>
          <w:rFonts w:ascii="Times New Roman" w:hAnsi="Times New Roman"/>
          <w:sz w:val="22"/>
          <w:szCs w:val="22"/>
        </w:rPr>
      </w:pPr>
      <w:r>
        <w:rPr>
          <w:rFonts w:ascii="Times New Roman" w:hAnsi="Times New Roman"/>
          <w:sz w:val="22"/>
          <w:szCs w:val="22"/>
        </w:rPr>
        <w:t>The overall objective of this research proposal is to sele</w:t>
      </w:r>
      <w:r w:rsidR="00930089">
        <w:rPr>
          <w:rFonts w:ascii="Times New Roman" w:hAnsi="Times New Roman"/>
          <w:sz w:val="22"/>
          <w:szCs w:val="22"/>
        </w:rPr>
        <w:t>ct and develop soybean lines</w:t>
      </w:r>
      <w:r>
        <w:rPr>
          <w:rFonts w:ascii="Times New Roman" w:hAnsi="Times New Roman"/>
          <w:sz w:val="22"/>
          <w:szCs w:val="22"/>
        </w:rPr>
        <w:t xml:space="preserve"> adapted to mid-south United States with enhanced natural tolerance to the Dicamba</w:t>
      </w:r>
      <w:r w:rsidR="00930089">
        <w:rPr>
          <w:rFonts w:ascii="Times New Roman" w:hAnsi="Times New Roman"/>
          <w:sz w:val="22"/>
          <w:szCs w:val="22"/>
        </w:rPr>
        <w:t xml:space="preserve"> herbicide</w:t>
      </w:r>
      <w:r>
        <w:rPr>
          <w:rFonts w:ascii="Times New Roman" w:hAnsi="Times New Roman"/>
          <w:sz w:val="22"/>
          <w:szCs w:val="22"/>
        </w:rPr>
        <w:t xml:space="preserve">. </w:t>
      </w:r>
      <w:r w:rsidR="00930089">
        <w:rPr>
          <w:rFonts w:ascii="Times New Roman" w:hAnsi="Times New Roman"/>
          <w:sz w:val="22"/>
          <w:szCs w:val="22"/>
        </w:rPr>
        <w:t>We will use</w:t>
      </w:r>
      <w:r>
        <w:rPr>
          <w:rFonts w:ascii="Times New Roman" w:hAnsi="Times New Roman"/>
          <w:sz w:val="22"/>
          <w:szCs w:val="22"/>
        </w:rPr>
        <w:t xml:space="preserve"> both phenotypic and genotypic approaches to precisely and efficiently </w:t>
      </w:r>
      <w:r w:rsidR="00930089">
        <w:rPr>
          <w:rFonts w:ascii="Times New Roman" w:hAnsi="Times New Roman"/>
          <w:sz w:val="22"/>
          <w:szCs w:val="22"/>
        </w:rPr>
        <w:t xml:space="preserve">characterize plant differential responses and </w:t>
      </w:r>
      <w:r>
        <w:rPr>
          <w:rFonts w:ascii="Times New Roman" w:hAnsi="Times New Roman"/>
          <w:sz w:val="22"/>
          <w:szCs w:val="22"/>
        </w:rPr>
        <w:t xml:space="preserve">select tolerant lines. A set of 200 high-yielding soybean lines developed at the University of Missouri - Delta Center Soybean Breeding </w:t>
      </w:r>
      <w:r w:rsidR="00930089">
        <w:rPr>
          <w:rFonts w:ascii="Times New Roman" w:hAnsi="Times New Roman"/>
          <w:sz w:val="22"/>
          <w:szCs w:val="22"/>
        </w:rPr>
        <w:t xml:space="preserve">program </w:t>
      </w:r>
      <w:r>
        <w:rPr>
          <w:rFonts w:ascii="Times New Roman" w:hAnsi="Times New Roman"/>
          <w:sz w:val="22"/>
          <w:szCs w:val="22"/>
        </w:rPr>
        <w:t>will be tested for yield performance at three locations (sand, clay and loam soils) in two different planting dates (Late-April and Mid-May) with three replications. The experimental design will be randomized complete block design (RCBD).</w:t>
      </w:r>
      <w:r w:rsidR="00067AC2">
        <w:rPr>
          <w:rFonts w:ascii="Times New Roman" w:hAnsi="Times New Roman"/>
          <w:sz w:val="22"/>
          <w:szCs w:val="22"/>
        </w:rPr>
        <w:t xml:space="preserve"> Plots will be monitored for dicamba injuries and harvested for yield data.</w:t>
      </w:r>
    </w:p>
    <w:p w14:paraId="76129E22" w14:textId="77777777" w:rsidR="00BB16F8" w:rsidRDefault="00BB16F8" w:rsidP="00BB16F8">
      <w:pPr>
        <w:widowControl w:val="0"/>
        <w:spacing w:after="0"/>
        <w:rPr>
          <w:rFonts w:ascii="Times New Roman" w:hAnsi="Times New Roman"/>
          <w:sz w:val="22"/>
          <w:szCs w:val="22"/>
        </w:rPr>
      </w:pPr>
      <w:r>
        <w:rPr>
          <w:rFonts w:ascii="Times New Roman" w:hAnsi="Times New Roman"/>
          <w:sz w:val="22"/>
          <w:szCs w:val="22"/>
        </w:rPr>
        <w:t xml:space="preserve"> </w:t>
      </w:r>
    </w:p>
    <w:p w14:paraId="434985AC" w14:textId="77777777" w:rsidR="00067AC2" w:rsidRDefault="00BB16F8" w:rsidP="00067AC2">
      <w:pPr>
        <w:widowControl w:val="0"/>
        <w:spacing w:after="0"/>
        <w:rPr>
          <w:rFonts w:ascii="Times New Roman" w:hAnsi="Times New Roman"/>
          <w:sz w:val="22"/>
          <w:szCs w:val="22"/>
        </w:rPr>
      </w:pPr>
      <w:r>
        <w:rPr>
          <w:rFonts w:ascii="Times New Roman" w:hAnsi="Times New Roman"/>
          <w:sz w:val="22"/>
          <w:szCs w:val="22"/>
        </w:rPr>
        <w:t>Dicamba injuries will be scored in vegetative (V4) and reproductive growth stages (R1 and R5). Scores will range from 1 to 5, where 1 represents no visible symptoms and 5 represents severe symptoms of Dicamba injury</w:t>
      </w:r>
      <w:r w:rsidR="00067AC2">
        <w:rPr>
          <w:rFonts w:ascii="Times New Roman" w:hAnsi="Times New Roman"/>
          <w:sz w:val="22"/>
          <w:szCs w:val="22"/>
        </w:rPr>
        <w:t xml:space="preserve"> (Figure 3</w:t>
      </w:r>
      <w:r w:rsidR="002F7FD5">
        <w:rPr>
          <w:rFonts w:ascii="Times New Roman" w:hAnsi="Times New Roman"/>
          <w:sz w:val="22"/>
          <w:szCs w:val="22"/>
        </w:rPr>
        <w:t>)</w:t>
      </w:r>
      <w:r>
        <w:rPr>
          <w:rFonts w:ascii="Times New Roman" w:hAnsi="Times New Roman"/>
          <w:sz w:val="22"/>
          <w:szCs w:val="22"/>
        </w:rPr>
        <w:t>. This approach will enable the identification of yield penalty due to severity of Dicamba injury, as well as the ability of specific genotypes to recover throughout the season.</w:t>
      </w:r>
      <w:r w:rsidR="00067AC2">
        <w:rPr>
          <w:rFonts w:ascii="Times New Roman" w:hAnsi="Times New Roman"/>
          <w:sz w:val="22"/>
          <w:szCs w:val="22"/>
        </w:rPr>
        <w:t xml:space="preserve"> </w:t>
      </w:r>
      <w:r w:rsidR="00E77464">
        <w:rPr>
          <w:rFonts w:ascii="Times New Roman" w:hAnsi="Times New Roman"/>
          <w:sz w:val="22"/>
          <w:szCs w:val="22"/>
        </w:rPr>
        <w:t>Once the tolerant lines are identified, t</w:t>
      </w:r>
      <w:r w:rsidR="00067AC2">
        <w:rPr>
          <w:rFonts w:ascii="Times New Roman" w:hAnsi="Times New Roman"/>
          <w:sz w:val="22"/>
          <w:szCs w:val="22"/>
        </w:rPr>
        <w:t>hey will also be tested in controlled environments under different Dicamba dosage exposures.</w:t>
      </w:r>
    </w:p>
    <w:p w14:paraId="7699F31E" w14:textId="77777777" w:rsidR="00BB16F8" w:rsidRDefault="00BB16F8" w:rsidP="00BB16F8">
      <w:pPr>
        <w:widowControl w:val="0"/>
        <w:spacing w:after="0"/>
        <w:rPr>
          <w:rFonts w:ascii="Times New Roman" w:hAnsi="Times New Roman"/>
          <w:sz w:val="22"/>
          <w:szCs w:val="22"/>
        </w:rPr>
      </w:pPr>
    </w:p>
    <w:p w14:paraId="0B10CBB9" w14:textId="77777777" w:rsidR="00BB16F8" w:rsidRDefault="00BB16F8" w:rsidP="00BB16F8">
      <w:pPr>
        <w:widowControl w:val="0"/>
        <w:spacing w:after="0"/>
        <w:rPr>
          <w:rFonts w:ascii="Times New Roman" w:hAnsi="Times New Roman"/>
          <w:sz w:val="22"/>
          <w:szCs w:val="22"/>
        </w:rPr>
      </w:pPr>
      <w:r>
        <w:rPr>
          <w:rFonts w:ascii="Times New Roman" w:hAnsi="Times New Roman"/>
          <w:sz w:val="22"/>
          <w:szCs w:val="22"/>
        </w:rPr>
        <w:t xml:space="preserve">To identify regions of the soybean genome regulating tolerance to Dicamba, a genome-wide association study will be conducted using the single nucleotide polymorphism (SNP) package SoySNP6K. It will be used as response both injury scores (field and controlled environment) and yield penalty. A mixed-linear model will </w:t>
      </w:r>
      <w:r>
        <w:rPr>
          <w:rFonts w:ascii="Times New Roman" w:hAnsi="Times New Roman"/>
          <w:sz w:val="22"/>
          <w:szCs w:val="22"/>
        </w:rPr>
        <w:lastRenderedPageBreak/>
        <w:t>account for genotypic and environmental variability, enhancing the ability to detect regions in the genome regulating Dicamba tolerance.</w:t>
      </w:r>
    </w:p>
    <w:p w14:paraId="1E643B92" w14:textId="77777777" w:rsidR="00BB16F8" w:rsidRDefault="00BB16F8" w:rsidP="00BB16F8">
      <w:pPr>
        <w:widowControl w:val="0"/>
        <w:spacing w:after="0"/>
        <w:rPr>
          <w:rFonts w:ascii="Times New Roman" w:hAnsi="Times New Roman"/>
          <w:sz w:val="22"/>
          <w:szCs w:val="22"/>
        </w:rPr>
      </w:pPr>
    </w:p>
    <w:p w14:paraId="064E0ED5" w14:textId="77777777" w:rsidR="00BB16F8" w:rsidRDefault="00BB16F8" w:rsidP="00BB16F8">
      <w:pPr>
        <w:widowControl w:val="0"/>
        <w:spacing w:after="0"/>
        <w:rPr>
          <w:rFonts w:ascii="Times New Roman" w:hAnsi="Times New Roman"/>
          <w:sz w:val="22"/>
          <w:szCs w:val="22"/>
        </w:rPr>
      </w:pPr>
      <w:r>
        <w:rPr>
          <w:rFonts w:ascii="Times New Roman" w:hAnsi="Times New Roman"/>
          <w:sz w:val="22"/>
          <w:szCs w:val="22"/>
        </w:rPr>
        <w:t>Haplotypes will be designed by selection of the most efficient subset of SNPs conferring the desired tolerance trait. Confirmation of superior subset will be assessed by prediction accuracy through cross-validation. Haplotypes will be implemented early in the pipeline to efficiently select tolerant lines.</w:t>
      </w:r>
      <w:r w:rsidR="00F15BCC">
        <w:rPr>
          <w:rFonts w:ascii="Times New Roman" w:hAnsi="Times New Roman"/>
          <w:sz w:val="22"/>
          <w:szCs w:val="22"/>
        </w:rPr>
        <w:t xml:space="preserve"> Selected lines will be re-tested in the following year to confirm the natural tolerance.</w:t>
      </w:r>
    </w:p>
    <w:p w14:paraId="7B9BBD18" w14:textId="77777777" w:rsidR="00BB16F8" w:rsidRPr="008678A0" w:rsidRDefault="00BB16F8" w:rsidP="00BB16F8">
      <w:pPr>
        <w:widowControl w:val="0"/>
        <w:spacing w:after="0"/>
        <w:rPr>
          <w:rFonts w:ascii="Times New Roman" w:hAnsi="Times New Roman"/>
          <w:sz w:val="22"/>
          <w:szCs w:val="22"/>
        </w:rPr>
      </w:pPr>
    </w:p>
    <w:p w14:paraId="20B23902" w14:textId="77777777" w:rsidR="00BB16F8" w:rsidRPr="008678A0" w:rsidRDefault="00BB16F8" w:rsidP="00BB16F8">
      <w:pPr>
        <w:widowControl w:val="0"/>
        <w:spacing w:after="0"/>
        <w:jc w:val="center"/>
        <w:rPr>
          <w:rFonts w:ascii="Times New Roman" w:hAnsi="Times New Roman"/>
          <w:sz w:val="22"/>
          <w:szCs w:val="22"/>
        </w:rPr>
      </w:pPr>
      <w:r w:rsidRPr="008678A0">
        <w:rPr>
          <w:rFonts w:ascii="Times New Roman" w:hAnsi="Times New Roman"/>
          <w:b/>
          <w:sz w:val="22"/>
          <w:szCs w:val="22"/>
          <w:u w:val="single"/>
        </w:rPr>
        <w:t xml:space="preserve">PROJECTED IMPACT OF RESULTS ON </w:t>
      </w:r>
      <w:r>
        <w:rPr>
          <w:rFonts w:ascii="Times New Roman" w:hAnsi="Times New Roman"/>
          <w:b/>
          <w:sz w:val="22"/>
          <w:szCs w:val="22"/>
          <w:u w:val="single"/>
        </w:rPr>
        <w:t>MID-SOUTH</w:t>
      </w:r>
      <w:r w:rsidRPr="008678A0">
        <w:rPr>
          <w:rFonts w:ascii="Times New Roman" w:hAnsi="Times New Roman"/>
          <w:b/>
          <w:sz w:val="22"/>
          <w:szCs w:val="22"/>
          <w:u w:val="single"/>
        </w:rPr>
        <w:t xml:space="preserve"> SOYBEAN PRODUCTION</w:t>
      </w:r>
    </w:p>
    <w:p w14:paraId="7041BBCB" w14:textId="77777777" w:rsidR="00BB16F8" w:rsidRPr="008678A0" w:rsidRDefault="00BB16F8" w:rsidP="00BB16F8">
      <w:pPr>
        <w:widowControl w:val="0"/>
        <w:spacing w:after="0"/>
        <w:rPr>
          <w:rFonts w:ascii="Times New Roman" w:hAnsi="Times New Roman"/>
          <w:sz w:val="22"/>
          <w:szCs w:val="22"/>
        </w:rPr>
      </w:pPr>
    </w:p>
    <w:p w14:paraId="24CE522F" w14:textId="77777777" w:rsidR="00BB16F8" w:rsidRDefault="00BB16F8" w:rsidP="00BB16F8">
      <w:pPr>
        <w:widowControl w:val="0"/>
        <w:spacing w:after="0"/>
        <w:rPr>
          <w:rFonts w:ascii="Times New Roman" w:hAnsi="Times New Roman"/>
          <w:sz w:val="22"/>
          <w:szCs w:val="22"/>
        </w:rPr>
      </w:pPr>
      <w:r>
        <w:rPr>
          <w:rFonts w:ascii="Times New Roman" w:hAnsi="Times New Roman"/>
          <w:sz w:val="22"/>
          <w:szCs w:val="22"/>
        </w:rPr>
        <w:t>The United States Department of Agriculture reported over 2</w:t>
      </w:r>
      <w:r w:rsidR="00E16E42">
        <w:rPr>
          <w:rFonts w:ascii="Times New Roman" w:hAnsi="Times New Roman"/>
          <w:sz w:val="22"/>
          <w:szCs w:val="22"/>
        </w:rPr>
        <w:t>,</w:t>
      </w:r>
      <w:r>
        <w:rPr>
          <w:rFonts w:ascii="Times New Roman" w:hAnsi="Times New Roman"/>
          <w:sz w:val="22"/>
          <w:szCs w:val="22"/>
        </w:rPr>
        <w:t>700 official Dicamba-related injury investigations in soybean in 2017, of which over 2</w:t>
      </w:r>
      <w:r w:rsidR="00E16E42">
        <w:rPr>
          <w:rFonts w:ascii="Times New Roman" w:hAnsi="Times New Roman"/>
          <w:sz w:val="22"/>
          <w:szCs w:val="22"/>
        </w:rPr>
        <w:t>,</w:t>
      </w:r>
      <w:r>
        <w:rPr>
          <w:rFonts w:ascii="Times New Roman" w:hAnsi="Times New Roman"/>
          <w:sz w:val="22"/>
          <w:szCs w:val="22"/>
        </w:rPr>
        <w:t xml:space="preserve">300 were placed in Mid-south US states. This represented over 2.8 million soybean acres in Mid-south US that experienced some degree of injuries. The selection and development of natural tolerant soybean varieties to Dicamba could potentially benefit Mid-south US growers that are either </w:t>
      </w:r>
      <w:r w:rsidR="00E16E42">
        <w:rPr>
          <w:rFonts w:ascii="Times New Roman" w:hAnsi="Times New Roman"/>
          <w:sz w:val="22"/>
          <w:szCs w:val="22"/>
        </w:rPr>
        <w:t>growing</w:t>
      </w:r>
      <w:r>
        <w:rPr>
          <w:rFonts w:ascii="Times New Roman" w:hAnsi="Times New Roman"/>
          <w:sz w:val="22"/>
          <w:szCs w:val="22"/>
        </w:rPr>
        <w:t xml:space="preserve"> conventional or alternative herbicide-tolerant varieties. Additionally, public breeding programs do not have </w:t>
      </w:r>
      <w:r w:rsidR="00E16E42">
        <w:rPr>
          <w:rFonts w:ascii="Times New Roman" w:hAnsi="Times New Roman"/>
          <w:sz w:val="22"/>
          <w:szCs w:val="22"/>
        </w:rPr>
        <w:t>the access</w:t>
      </w:r>
      <w:r>
        <w:rPr>
          <w:rFonts w:ascii="Times New Roman" w:hAnsi="Times New Roman"/>
          <w:sz w:val="22"/>
          <w:szCs w:val="22"/>
        </w:rPr>
        <w:t xml:space="preserve"> to the</w:t>
      </w:r>
      <w:r w:rsidR="00E16E42">
        <w:rPr>
          <w:rFonts w:ascii="Times New Roman" w:hAnsi="Times New Roman"/>
          <w:sz w:val="22"/>
          <w:szCs w:val="22"/>
        </w:rPr>
        <w:t xml:space="preserve"> </w:t>
      </w:r>
      <w:proofErr w:type="spellStart"/>
      <w:r w:rsidR="00F367A9">
        <w:rPr>
          <w:rFonts w:ascii="Times New Roman" w:hAnsi="Times New Roman"/>
          <w:sz w:val="22"/>
          <w:szCs w:val="22"/>
        </w:rPr>
        <w:t>Xtend</w:t>
      </w:r>
      <w:proofErr w:type="spellEnd"/>
      <w:r>
        <w:rPr>
          <w:rFonts w:ascii="Times New Roman" w:hAnsi="Times New Roman"/>
          <w:sz w:val="22"/>
          <w:szCs w:val="22"/>
        </w:rPr>
        <w:t xml:space="preserve"> technology</w:t>
      </w:r>
      <w:r w:rsidR="00E16E42">
        <w:rPr>
          <w:rFonts w:ascii="Times New Roman" w:hAnsi="Times New Roman"/>
          <w:sz w:val="22"/>
          <w:szCs w:val="22"/>
        </w:rPr>
        <w:t xml:space="preserve"> for breeding purposes</w:t>
      </w:r>
      <w:r>
        <w:rPr>
          <w:rFonts w:ascii="Times New Roman" w:hAnsi="Times New Roman"/>
          <w:sz w:val="22"/>
          <w:szCs w:val="22"/>
        </w:rPr>
        <w:t xml:space="preserve">. Therefore, the identification and design of haplotypes with natural enhanced Dicamba tolerance represents a powerful tool to public breeding programs </w:t>
      </w:r>
      <w:r w:rsidR="00E16E42">
        <w:rPr>
          <w:rFonts w:ascii="Times New Roman" w:hAnsi="Times New Roman"/>
          <w:sz w:val="22"/>
          <w:szCs w:val="22"/>
        </w:rPr>
        <w:t xml:space="preserve">to </w:t>
      </w:r>
      <w:r>
        <w:rPr>
          <w:rFonts w:ascii="Times New Roman" w:hAnsi="Times New Roman"/>
          <w:sz w:val="22"/>
          <w:szCs w:val="22"/>
        </w:rPr>
        <w:t>maintain the flux of their cultivar development pipeline.</w:t>
      </w:r>
    </w:p>
    <w:p w14:paraId="1A339D3C" w14:textId="77777777" w:rsidR="00BB16F8" w:rsidRDefault="00BB16F8" w:rsidP="00BB16F8">
      <w:pPr>
        <w:widowControl w:val="0"/>
        <w:spacing w:after="0"/>
        <w:rPr>
          <w:rFonts w:ascii="Times New Roman" w:hAnsi="Times New Roman"/>
          <w:sz w:val="22"/>
          <w:szCs w:val="22"/>
        </w:rPr>
      </w:pPr>
    </w:p>
    <w:p w14:paraId="4923B733" w14:textId="77777777" w:rsidR="00BB16F8" w:rsidRPr="008678A0" w:rsidRDefault="00BB16F8" w:rsidP="00BB16F8">
      <w:pPr>
        <w:widowControl w:val="0"/>
        <w:spacing w:after="0"/>
        <w:jc w:val="center"/>
        <w:rPr>
          <w:rFonts w:ascii="Times New Roman" w:hAnsi="Times New Roman"/>
          <w:sz w:val="22"/>
          <w:szCs w:val="22"/>
        </w:rPr>
      </w:pPr>
      <w:r w:rsidRPr="008678A0">
        <w:rPr>
          <w:rFonts w:ascii="Times New Roman" w:hAnsi="Times New Roman"/>
          <w:b/>
          <w:sz w:val="22"/>
          <w:szCs w:val="22"/>
          <w:u w:val="single"/>
        </w:rPr>
        <w:t>EXPECTED END PRODUCT(S)</w:t>
      </w:r>
    </w:p>
    <w:p w14:paraId="7A380667" w14:textId="77777777" w:rsidR="00BB16F8" w:rsidRPr="008678A0" w:rsidRDefault="00BB16F8" w:rsidP="00BB16F8">
      <w:pPr>
        <w:widowControl w:val="0"/>
        <w:spacing w:after="0"/>
        <w:jc w:val="center"/>
        <w:rPr>
          <w:rFonts w:ascii="Times New Roman" w:hAnsi="Times New Roman"/>
          <w:sz w:val="22"/>
          <w:szCs w:val="22"/>
        </w:rPr>
      </w:pPr>
    </w:p>
    <w:p w14:paraId="525A8651" w14:textId="77777777" w:rsidR="00BB16F8" w:rsidRDefault="00BB16F8" w:rsidP="00BB16F8">
      <w:pPr>
        <w:widowControl w:val="0"/>
        <w:spacing w:after="0"/>
        <w:rPr>
          <w:rFonts w:ascii="Times New Roman" w:hAnsi="Times New Roman"/>
          <w:sz w:val="22"/>
          <w:szCs w:val="22"/>
        </w:rPr>
      </w:pPr>
      <w:r>
        <w:rPr>
          <w:rFonts w:ascii="Times New Roman" w:hAnsi="Times New Roman"/>
          <w:sz w:val="22"/>
          <w:szCs w:val="22"/>
        </w:rPr>
        <w:t xml:space="preserve">The expected end products of this research project </w:t>
      </w:r>
      <w:r w:rsidR="00204F21">
        <w:rPr>
          <w:rFonts w:ascii="Times New Roman" w:hAnsi="Times New Roman"/>
          <w:sz w:val="22"/>
          <w:szCs w:val="22"/>
        </w:rPr>
        <w:t>will include: 1</w:t>
      </w:r>
      <w:r>
        <w:rPr>
          <w:rFonts w:ascii="Times New Roman" w:hAnsi="Times New Roman"/>
          <w:sz w:val="22"/>
          <w:szCs w:val="22"/>
        </w:rPr>
        <w:t xml:space="preserve">) </w:t>
      </w:r>
      <w:r w:rsidR="00204F21">
        <w:rPr>
          <w:rFonts w:ascii="Times New Roman" w:hAnsi="Times New Roman"/>
          <w:sz w:val="22"/>
          <w:szCs w:val="22"/>
        </w:rPr>
        <w:t xml:space="preserve">well characterized differential response in soybean to dicamba drift injuries, 2) high-yielding soybean lines </w:t>
      </w:r>
      <w:r>
        <w:rPr>
          <w:rFonts w:ascii="Times New Roman" w:hAnsi="Times New Roman"/>
          <w:sz w:val="22"/>
          <w:szCs w:val="22"/>
        </w:rPr>
        <w:t>adapted to Mid-south US with e</w:t>
      </w:r>
      <w:r w:rsidR="00204F21">
        <w:rPr>
          <w:rFonts w:ascii="Times New Roman" w:hAnsi="Times New Roman"/>
          <w:sz w:val="22"/>
          <w:szCs w:val="22"/>
        </w:rPr>
        <w:t>nhanced tolerance to Dicamba; 3</w:t>
      </w:r>
      <w:r>
        <w:rPr>
          <w:rFonts w:ascii="Times New Roman" w:hAnsi="Times New Roman"/>
          <w:sz w:val="22"/>
          <w:szCs w:val="22"/>
        </w:rPr>
        <w:t xml:space="preserve">) </w:t>
      </w:r>
      <w:r w:rsidR="00204F21">
        <w:rPr>
          <w:rFonts w:ascii="Times New Roman" w:hAnsi="Times New Roman"/>
          <w:sz w:val="22"/>
          <w:szCs w:val="22"/>
        </w:rPr>
        <w:t>identified genomic regions responsible for enhanced Dicamba tolerance and respective haplotypes; and 4) a journal publication</w:t>
      </w:r>
      <w:r>
        <w:rPr>
          <w:rFonts w:ascii="Times New Roman" w:hAnsi="Times New Roman"/>
          <w:sz w:val="22"/>
          <w:szCs w:val="22"/>
        </w:rPr>
        <w:t xml:space="preserve"> </w:t>
      </w:r>
      <w:r w:rsidR="00204F21">
        <w:rPr>
          <w:rFonts w:ascii="Times New Roman" w:hAnsi="Times New Roman"/>
          <w:sz w:val="22"/>
          <w:szCs w:val="22"/>
        </w:rPr>
        <w:t>reporting the impact of Dicamba injury o</w:t>
      </w:r>
      <w:r>
        <w:rPr>
          <w:rFonts w:ascii="Times New Roman" w:hAnsi="Times New Roman"/>
          <w:sz w:val="22"/>
          <w:szCs w:val="22"/>
        </w:rPr>
        <w:t xml:space="preserve">n soybean yield, and </w:t>
      </w:r>
      <w:r w:rsidR="00204F21">
        <w:rPr>
          <w:rFonts w:ascii="Times New Roman" w:hAnsi="Times New Roman"/>
          <w:sz w:val="22"/>
          <w:szCs w:val="22"/>
        </w:rPr>
        <w:t>5</w:t>
      </w:r>
      <w:r>
        <w:rPr>
          <w:rFonts w:ascii="Times New Roman" w:hAnsi="Times New Roman"/>
          <w:sz w:val="22"/>
          <w:szCs w:val="22"/>
        </w:rPr>
        <w:t xml:space="preserve">) </w:t>
      </w:r>
      <w:r w:rsidR="00204F21">
        <w:rPr>
          <w:rFonts w:ascii="Times New Roman" w:hAnsi="Times New Roman"/>
          <w:sz w:val="22"/>
          <w:szCs w:val="22"/>
        </w:rPr>
        <w:t>a p</w:t>
      </w:r>
      <w:r>
        <w:rPr>
          <w:rFonts w:ascii="Times New Roman" w:hAnsi="Times New Roman"/>
          <w:sz w:val="22"/>
          <w:szCs w:val="22"/>
        </w:rPr>
        <w:t xml:space="preserve">oster presentation for graduate students </w:t>
      </w:r>
      <w:r w:rsidR="00204F21">
        <w:rPr>
          <w:rFonts w:ascii="Times New Roman" w:hAnsi="Times New Roman"/>
          <w:sz w:val="22"/>
          <w:szCs w:val="22"/>
        </w:rPr>
        <w:t xml:space="preserve">at professional conference to share the research findings with </w:t>
      </w:r>
      <w:r>
        <w:rPr>
          <w:rFonts w:ascii="Times New Roman" w:hAnsi="Times New Roman"/>
          <w:sz w:val="22"/>
          <w:szCs w:val="22"/>
        </w:rPr>
        <w:t>the scientific community.</w:t>
      </w:r>
    </w:p>
    <w:p w14:paraId="75DFB6A7" w14:textId="77777777" w:rsidR="00742BC1" w:rsidRDefault="00742BC1" w:rsidP="00BB16F8">
      <w:pPr>
        <w:widowControl w:val="0"/>
        <w:spacing w:after="0"/>
        <w:jc w:val="center"/>
        <w:rPr>
          <w:rFonts w:ascii="Times New Roman" w:hAnsi="Times New Roman"/>
          <w:sz w:val="22"/>
          <w:szCs w:val="22"/>
        </w:rPr>
      </w:pPr>
    </w:p>
    <w:p w14:paraId="226F0DB8" w14:textId="77777777" w:rsidR="008678A0" w:rsidRPr="008678A0" w:rsidRDefault="008678A0" w:rsidP="00742BC1">
      <w:pPr>
        <w:widowControl w:val="0"/>
        <w:spacing w:after="0"/>
        <w:jc w:val="center"/>
        <w:rPr>
          <w:rFonts w:ascii="Times New Roman" w:hAnsi="Times New Roman"/>
          <w:sz w:val="22"/>
          <w:szCs w:val="22"/>
        </w:rPr>
      </w:pPr>
    </w:p>
    <w:sectPr w:rsidR="008678A0" w:rsidRPr="008678A0" w:rsidSect="00793CC7">
      <w:footerReference w:type="default" r:id="rId11"/>
      <w:pgSz w:w="12240" w:h="15840"/>
      <w:pgMar w:top="1152" w:right="1152" w:bottom="1152" w:left="1152" w:header="21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80D31" w14:textId="77777777" w:rsidR="00135E44" w:rsidRDefault="00135E44" w:rsidP="00B50AC4">
      <w:pPr>
        <w:spacing w:after="0"/>
      </w:pPr>
      <w:r>
        <w:separator/>
      </w:r>
    </w:p>
  </w:endnote>
  <w:endnote w:type="continuationSeparator" w:id="0">
    <w:p w14:paraId="0E7298F9" w14:textId="77777777" w:rsidR="00135E44" w:rsidRDefault="00135E44" w:rsidP="00B50A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TypographicSymbols">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2510E" w14:textId="77777777" w:rsidR="00BB16F8" w:rsidRDefault="00BB16F8">
    <w:pPr>
      <w:pStyle w:val="Footer"/>
    </w:pPr>
    <w:r>
      <w:t>Mid-South Soybean RFP</w:t>
    </w:r>
    <w:r>
      <w:tab/>
    </w:r>
    <w:r>
      <w:tab/>
    </w:r>
    <w:r>
      <w:tab/>
    </w:r>
    <w:r>
      <w:fldChar w:fldCharType="begin"/>
    </w:r>
    <w:r>
      <w:instrText xml:space="preserve"> PAGE   \* MERGEFORMAT </w:instrText>
    </w:r>
    <w:r>
      <w:fldChar w:fldCharType="separate"/>
    </w:r>
    <w:r w:rsidR="00F6529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FA3BB" w14:textId="77777777" w:rsidR="00135E44" w:rsidRDefault="00135E44" w:rsidP="00B50AC4">
      <w:pPr>
        <w:spacing w:after="0"/>
      </w:pPr>
      <w:r>
        <w:separator/>
      </w:r>
    </w:p>
  </w:footnote>
  <w:footnote w:type="continuationSeparator" w:id="0">
    <w:p w14:paraId="362C4499" w14:textId="77777777" w:rsidR="00135E44" w:rsidRDefault="00135E44" w:rsidP="00B50AC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ind w:left="0" w:firstLine="0"/>
      </w:pPr>
      <w:rPr>
        <w:rFonts w:ascii="WP TypographicSymbols" w:hAnsi="WP TypographicSymbols"/>
      </w:rPr>
    </w:lvl>
    <w:lvl w:ilvl="1">
      <w:start w:val="1"/>
      <w:numFmt w:val="none"/>
      <w:suff w:val="nothing"/>
      <w:lvlText w:val="!"/>
      <w:lvlJc w:val="left"/>
      <w:pPr>
        <w:ind w:left="0" w:firstLine="0"/>
      </w:pPr>
      <w:rPr>
        <w:rFonts w:ascii="WP TypographicSymbols" w:hAnsi="WP TypographicSymbols"/>
      </w:rPr>
    </w:lvl>
    <w:lvl w:ilvl="2">
      <w:start w:val="1"/>
      <w:numFmt w:val="none"/>
      <w:suff w:val="nothing"/>
      <w:lvlText w:val="!"/>
      <w:lvlJc w:val="left"/>
      <w:pPr>
        <w:ind w:left="0" w:firstLine="0"/>
      </w:pPr>
      <w:rPr>
        <w:rFonts w:ascii="WP TypographicSymbols" w:hAnsi="WP TypographicSymbols"/>
      </w:rPr>
    </w:lvl>
    <w:lvl w:ilvl="3">
      <w:start w:val="1"/>
      <w:numFmt w:val="none"/>
      <w:suff w:val="nothing"/>
      <w:lvlText w:val="!"/>
      <w:lvlJc w:val="left"/>
      <w:pPr>
        <w:ind w:left="0" w:firstLine="0"/>
      </w:pPr>
      <w:rPr>
        <w:rFonts w:ascii="WP TypographicSymbols" w:hAnsi="WP TypographicSymbols"/>
      </w:rPr>
    </w:lvl>
    <w:lvl w:ilvl="4">
      <w:start w:val="1"/>
      <w:numFmt w:val="none"/>
      <w:suff w:val="nothing"/>
      <w:lvlText w:val="!"/>
      <w:lvlJc w:val="left"/>
      <w:pPr>
        <w:ind w:left="0" w:firstLine="0"/>
      </w:pPr>
      <w:rPr>
        <w:rFonts w:ascii="WP TypographicSymbols" w:hAnsi="WP TypographicSymbols"/>
      </w:rPr>
    </w:lvl>
    <w:lvl w:ilvl="5">
      <w:start w:val="1"/>
      <w:numFmt w:val="none"/>
      <w:suff w:val="nothing"/>
      <w:lvlText w:val="!"/>
      <w:lvlJc w:val="left"/>
      <w:pPr>
        <w:ind w:left="0" w:firstLine="0"/>
      </w:pPr>
      <w:rPr>
        <w:rFonts w:ascii="WP TypographicSymbols" w:hAnsi="WP TypographicSymbols"/>
      </w:rPr>
    </w:lvl>
    <w:lvl w:ilvl="6">
      <w:start w:val="1"/>
      <w:numFmt w:val="none"/>
      <w:suff w:val="nothing"/>
      <w:lvlText w:val="!"/>
      <w:lvlJc w:val="left"/>
      <w:pPr>
        <w:ind w:left="0" w:firstLine="0"/>
      </w:pPr>
      <w:rPr>
        <w:rFonts w:ascii="WP TypographicSymbols" w:hAnsi="WP TypographicSymbols"/>
      </w:rPr>
    </w:lvl>
    <w:lvl w:ilvl="7">
      <w:start w:val="1"/>
      <w:numFmt w:val="none"/>
      <w:suff w:val="nothing"/>
      <w:lvlText w:val="!"/>
      <w:lvlJc w:val="left"/>
      <w:pPr>
        <w:ind w:left="0" w:firstLine="0"/>
      </w:pPr>
      <w:rPr>
        <w:rFonts w:ascii="WP TypographicSymbols" w:hAnsi="WP TypographicSymbols"/>
      </w:rPr>
    </w:lvl>
    <w:lvl w:ilvl="8">
      <w:start w:val="1"/>
      <w:numFmt w:val="lowerRoman"/>
      <w:suff w:val="nothing"/>
      <w:lvlText w:val="%9)"/>
      <w:lvlJc w:val="left"/>
      <w:pPr>
        <w:ind w:left="0" w:firstLine="0"/>
      </w:pPr>
    </w:lvl>
  </w:abstractNum>
  <w:abstractNum w:abstractNumId="1" w15:restartNumberingAfterBreak="0">
    <w:nsid w:val="07F20CFC"/>
    <w:multiLevelType w:val="hybridMultilevel"/>
    <w:tmpl w:val="98243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F6E95"/>
    <w:multiLevelType w:val="hybridMultilevel"/>
    <w:tmpl w:val="4D7874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096F4F"/>
    <w:multiLevelType w:val="hybridMultilevel"/>
    <w:tmpl w:val="CFB60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7246A8C"/>
    <w:multiLevelType w:val="hybridMultilevel"/>
    <w:tmpl w:val="B4606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708BE"/>
    <w:multiLevelType w:val="hybridMultilevel"/>
    <w:tmpl w:val="248A3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32AC9"/>
    <w:multiLevelType w:val="hybridMultilevel"/>
    <w:tmpl w:val="55A2A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E7BE4"/>
    <w:multiLevelType w:val="hybridMultilevel"/>
    <w:tmpl w:val="491AC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E2D44"/>
    <w:multiLevelType w:val="hybridMultilevel"/>
    <w:tmpl w:val="9F40E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71864"/>
    <w:multiLevelType w:val="hybridMultilevel"/>
    <w:tmpl w:val="D2B2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B7B48"/>
    <w:multiLevelType w:val="hybridMultilevel"/>
    <w:tmpl w:val="8E7C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395E41"/>
    <w:multiLevelType w:val="hybridMultilevel"/>
    <w:tmpl w:val="655AA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A6A66E6"/>
    <w:multiLevelType w:val="hybridMultilevel"/>
    <w:tmpl w:val="8EA01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1E26BC"/>
    <w:multiLevelType w:val="hybridMultilevel"/>
    <w:tmpl w:val="5BF06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34F2E0F"/>
    <w:multiLevelType w:val="hybridMultilevel"/>
    <w:tmpl w:val="47CCA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BA399B"/>
    <w:multiLevelType w:val="hybridMultilevel"/>
    <w:tmpl w:val="56962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790281"/>
    <w:multiLevelType w:val="hybridMultilevel"/>
    <w:tmpl w:val="84DA1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ED5C65"/>
    <w:multiLevelType w:val="hybridMultilevel"/>
    <w:tmpl w:val="A98A7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BC6AF9"/>
    <w:multiLevelType w:val="hybridMultilevel"/>
    <w:tmpl w:val="298C6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2F4C1F"/>
    <w:multiLevelType w:val="hybridMultilevel"/>
    <w:tmpl w:val="F0FA2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DFE5B0F"/>
    <w:multiLevelType w:val="hybridMultilevel"/>
    <w:tmpl w:val="0EFE8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4A1EEB"/>
    <w:multiLevelType w:val="hybridMultilevel"/>
    <w:tmpl w:val="AE3CC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5520BC"/>
    <w:multiLevelType w:val="hybridMultilevel"/>
    <w:tmpl w:val="160A0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695502"/>
    <w:multiLevelType w:val="hybridMultilevel"/>
    <w:tmpl w:val="E370FA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1A36A8C"/>
    <w:multiLevelType w:val="hybridMultilevel"/>
    <w:tmpl w:val="904AD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145E7E"/>
    <w:multiLevelType w:val="hybridMultilevel"/>
    <w:tmpl w:val="B846F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3874D1"/>
    <w:multiLevelType w:val="hybridMultilevel"/>
    <w:tmpl w:val="9D52F6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8BE1FD2"/>
    <w:multiLevelType w:val="hybridMultilevel"/>
    <w:tmpl w:val="F5902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B532BE"/>
    <w:multiLevelType w:val="hybridMultilevel"/>
    <w:tmpl w:val="B4B04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C232DE"/>
    <w:multiLevelType w:val="hybridMultilevel"/>
    <w:tmpl w:val="448E4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1C31EF"/>
    <w:multiLevelType w:val="hybridMultilevel"/>
    <w:tmpl w:val="C0725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9"/>
  </w:num>
  <w:num w:numId="4">
    <w:abstractNumId w:val="3"/>
  </w:num>
  <w:num w:numId="5">
    <w:abstractNumId w:val="13"/>
  </w:num>
  <w:num w:numId="6">
    <w:abstractNumId w:val="3"/>
  </w:num>
  <w:num w:numId="7">
    <w:abstractNumId w:val="9"/>
  </w:num>
  <w:num w:numId="8">
    <w:abstractNumId w:val="12"/>
  </w:num>
  <w:num w:numId="9">
    <w:abstractNumId w:val="7"/>
  </w:num>
  <w:num w:numId="10">
    <w:abstractNumId w:val="27"/>
  </w:num>
  <w:num w:numId="11">
    <w:abstractNumId w:val="28"/>
  </w:num>
  <w:num w:numId="12">
    <w:abstractNumId w:val="29"/>
  </w:num>
  <w:num w:numId="13">
    <w:abstractNumId w:val="16"/>
  </w:num>
  <w:num w:numId="14">
    <w:abstractNumId w:val="6"/>
  </w:num>
  <w:num w:numId="15">
    <w:abstractNumId w:val="21"/>
  </w:num>
  <w:num w:numId="16">
    <w:abstractNumId w:val="30"/>
  </w:num>
  <w:num w:numId="17">
    <w:abstractNumId w:val="20"/>
  </w:num>
  <w:num w:numId="18">
    <w:abstractNumId w:val="14"/>
  </w:num>
  <w:num w:numId="19">
    <w:abstractNumId w:val="10"/>
  </w:num>
  <w:num w:numId="20">
    <w:abstractNumId w:val="17"/>
  </w:num>
  <w:num w:numId="21">
    <w:abstractNumId w:val="25"/>
  </w:num>
  <w:num w:numId="22">
    <w:abstractNumId w:val="24"/>
  </w:num>
  <w:num w:numId="23">
    <w:abstractNumId w:val="15"/>
  </w:num>
  <w:num w:numId="24">
    <w:abstractNumId w:val="18"/>
  </w:num>
  <w:num w:numId="25">
    <w:abstractNumId w:val="8"/>
  </w:num>
  <w:num w:numId="26">
    <w:abstractNumId w:val="1"/>
  </w:num>
  <w:num w:numId="27">
    <w:abstractNumId w:val="22"/>
  </w:num>
  <w:num w:numId="28">
    <w:abstractNumId w:val="26"/>
  </w:num>
  <w:num w:numId="29">
    <w:abstractNumId w:val="2"/>
  </w:num>
  <w:num w:numId="30">
    <w:abstractNumId w:val="11"/>
  </w:num>
  <w:num w:numId="31">
    <w:abstractNumId w:val="5"/>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AC4"/>
    <w:rsid w:val="00011197"/>
    <w:rsid w:val="000415C6"/>
    <w:rsid w:val="00047F65"/>
    <w:rsid w:val="00060F40"/>
    <w:rsid w:val="00067AC2"/>
    <w:rsid w:val="0008619F"/>
    <w:rsid w:val="0008636C"/>
    <w:rsid w:val="0009255C"/>
    <w:rsid w:val="000D75D7"/>
    <w:rsid w:val="000E6C4D"/>
    <w:rsid w:val="000E6D40"/>
    <w:rsid w:val="00112E82"/>
    <w:rsid w:val="001227DA"/>
    <w:rsid w:val="00123001"/>
    <w:rsid w:val="00134B45"/>
    <w:rsid w:val="00135E44"/>
    <w:rsid w:val="001442F5"/>
    <w:rsid w:val="00150138"/>
    <w:rsid w:val="00152422"/>
    <w:rsid w:val="00173FC0"/>
    <w:rsid w:val="001A5205"/>
    <w:rsid w:val="001A615B"/>
    <w:rsid w:val="001D7C33"/>
    <w:rsid w:val="001E1A4F"/>
    <w:rsid w:val="001E628E"/>
    <w:rsid w:val="001F07D3"/>
    <w:rsid w:val="00204F21"/>
    <w:rsid w:val="0024765D"/>
    <w:rsid w:val="00275E30"/>
    <w:rsid w:val="00280B3C"/>
    <w:rsid w:val="002915A7"/>
    <w:rsid w:val="002B0D96"/>
    <w:rsid w:val="002B4C0A"/>
    <w:rsid w:val="002B7450"/>
    <w:rsid w:val="002B7B60"/>
    <w:rsid w:val="002C7489"/>
    <w:rsid w:val="002D4666"/>
    <w:rsid w:val="002D50B7"/>
    <w:rsid w:val="002E0669"/>
    <w:rsid w:val="002F7FD5"/>
    <w:rsid w:val="00302A3F"/>
    <w:rsid w:val="00307CB1"/>
    <w:rsid w:val="00317153"/>
    <w:rsid w:val="00331671"/>
    <w:rsid w:val="00335333"/>
    <w:rsid w:val="003460DB"/>
    <w:rsid w:val="003469CE"/>
    <w:rsid w:val="00347538"/>
    <w:rsid w:val="00364CED"/>
    <w:rsid w:val="00365AF7"/>
    <w:rsid w:val="0037738C"/>
    <w:rsid w:val="003811C4"/>
    <w:rsid w:val="00384D20"/>
    <w:rsid w:val="003A2766"/>
    <w:rsid w:val="003B4B1A"/>
    <w:rsid w:val="003E591A"/>
    <w:rsid w:val="003E7D4F"/>
    <w:rsid w:val="003F1861"/>
    <w:rsid w:val="003F3C5A"/>
    <w:rsid w:val="00406E68"/>
    <w:rsid w:val="00413739"/>
    <w:rsid w:val="004228DB"/>
    <w:rsid w:val="00425E5B"/>
    <w:rsid w:val="00442C3B"/>
    <w:rsid w:val="00447DB1"/>
    <w:rsid w:val="004651DD"/>
    <w:rsid w:val="004834AE"/>
    <w:rsid w:val="00491EBD"/>
    <w:rsid w:val="0049423F"/>
    <w:rsid w:val="004A41CD"/>
    <w:rsid w:val="004B6B8A"/>
    <w:rsid w:val="004C1145"/>
    <w:rsid w:val="004C3036"/>
    <w:rsid w:val="004D7E88"/>
    <w:rsid w:val="004E0C1D"/>
    <w:rsid w:val="004F5988"/>
    <w:rsid w:val="00504205"/>
    <w:rsid w:val="00504241"/>
    <w:rsid w:val="0050702E"/>
    <w:rsid w:val="005258F0"/>
    <w:rsid w:val="00525A98"/>
    <w:rsid w:val="00543B22"/>
    <w:rsid w:val="00556040"/>
    <w:rsid w:val="005B129B"/>
    <w:rsid w:val="005B3D89"/>
    <w:rsid w:val="005E4745"/>
    <w:rsid w:val="006052A5"/>
    <w:rsid w:val="00605BC8"/>
    <w:rsid w:val="00607A26"/>
    <w:rsid w:val="00617908"/>
    <w:rsid w:val="00632119"/>
    <w:rsid w:val="00632200"/>
    <w:rsid w:val="00632295"/>
    <w:rsid w:val="00641A19"/>
    <w:rsid w:val="0064393A"/>
    <w:rsid w:val="006519A5"/>
    <w:rsid w:val="006541A0"/>
    <w:rsid w:val="00660AE8"/>
    <w:rsid w:val="006621E7"/>
    <w:rsid w:val="00664FDF"/>
    <w:rsid w:val="00686CC2"/>
    <w:rsid w:val="00691716"/>
    <w:rsid w:val="006C3BC3"/>
    <w:rsid w:val="006D6E25"/>
    <w:rsid w:val="006E4023"/>
    <w:rsid w:val="006E4222"/>
    <w:rsid w:val="006F1B79"/>
    <w:rsid w:val="007252C9"/>
    <w:rsid w:val="00726404"/>
    <w:rsid w:val="0073561A"/>
    <w:rsid w:val="00742BC1"/>
    <w:rsid w:val="0075171C"/>
    <w:rsid w:val="007554D0"/>
    <w:rsid w:val="007601C6"/>
    <w:rsid w:val="00784475"/>
    <w:rsid w:val="007850C6"/>
    <w:rsid w:val="00793CC7"/>
    <w:rsid w:val="007964E7"/>
    <w:rsid w:val="007A2295"/>
    <w:rsid w:val="007A2A5D"/>
    <w:rsid w:val="007B2B1B"/>
    <w:rsid w:val="007B7B3D"/>
    <w:rsid w:val="007D2E6D"/>
    <w:rsid w:val="007D3C70"/>
    <w:rsid w:val="007D44A0"/>
    <w:rsid w:val="007E1D48"/>
    <w:rsid w:val="007E5B71"/>
    <w:rsid w:val="007E5EA3"/>
    <w:rsid w:val="007F14F0"/>
    <w:rsid w:val="007F62B2"/>
    <w:rsid w:val="008003D1"/>
    <w:rsid w:val="00811E34"/>
    <w:rsid w:val="00821CF5"/>
    <w:rsid w:val="00844BE1"/>
    <w:rsid w:val="00855517"/>
    <w:rsid w:val="0085758D"/>
    <w:rsid w:val="008678A0"/>
    <w:rsid w:val="00880DDF"/>
    <w:rsid w:val="008A4710"/>
    <w:rsid w:val="008B63A9"/>
    <w:rsid w:val="008D61F3"/>
    <w:rsid w:val="008E22AD"/>
    <w:rsid w:val="00907455"/>
    <w:rsid w:val="00930089"/>
    <w:rsid w:val="0094544B"/>
    <w:rsid w:val="0095152D"/>
    <w:rsid w:val="00971635"/>
    <w:rsid w:val="009752A6"/>
    <w:rsid w:val="009768BE"/>
    <w:rsid w:val="009803C2"/>
    <w:rsid w:val="00985A6C"/>
    <w:rsid w:val="009A7A9C"/>
    <w:rsid w:val="009B68BB"/>
    <w:rsid w:val="009B7D34"/>
    <w:rsid w:val="009C1475"/>
    <w:rsid w:val="009C7BFD"/>
    <w:rsid w:val="009D3589"/>
    <w:rsid w:val="009F1872"/>
    <w:rsid w:val="009F2465"/>
    <w:rsid w:val="009F3F97"/>
    <w:rsid w:val="009F6C79"/>
    <w:rsid w:val="00A1343B"/>
    <w:rsid w:val="00A4369D"/>
    <w:rsid w:val="00A447CB"/>
    <w:rsid w:val="00A874CF"/>
    <w:rsid w:val="00A93E63"/>
    <w:rsid w:val="00AA7BB1"/>
    <w:rsid w:val="00AC633F"/>
    <w:rsid w:val="00AD1C2E"/>
    <w:rsid w:val="00AE0911"/>
    <w:rsid w:val="00AE35AB"/>
    <w:rsid w:val="00AF028A"/>
    <w:rsid w:val="00AF0C79"/>
    <w:rsid w:val="00AF7289"/>
    <w:rsid w:val="00AF7885"/>
    <w:rsid w:val="00B060E6"/>
    <w:rsid w:val="00B13553"/>
    <w:rsid w:val="00B17401"/>
    <w:rsid w:val="00B50AC4"/>
    <w:rsid w:val="00B94694"/>
    <w:rsid w:val="00B94D9C"/>
    <w:rsid w:val="00BB06EA"/>
    <w:rsid w:val="00BB16F8"/>
    <w:rsid w:val="00BB6750"/>
    <w:rsid w:val="00BB7B2C"/>
    <w:rsid w:val="00BC3874"/>
    <w:rsid w:val="00BD3688"/>
    <w:rsid w:val="00BD5D8E"/>
    <w:rsid w:val="00BE7EAC"/>
    <w:rsid w:val="00C138E1"/>
    <w:rsid w:val="00C15393"/>
    <w:rsid w:val="00C277D3"/>
    <w:rsid w:val="00C423FC"/>
    <w:rsid w:val="00C44C07"/>
    <w:rsid w:val="00C641E0"/>
    <w:rsid w:val="00C704F9"/>
    <w:rsid w:val="00C758FC"/>
    <w:rsid w:val="00C84F20"/>
    <w:rsid w:val="00C95F8B"/>
    <w:rsid w:val="00CA5BCA"/>
    <w:rsid w:val="00CB11A6"/>
    <w:rsid w:val="00CC43E2"/>
    <w:rsid w:val="00CC5436"/>
    <w:rsid w:val="00CC6B3B"/>
    <w:rsid w:val="00CD22D5"/>
    <w:rsid w:val="00CD3E70"/>
    <w:rsid w:val="00CD4939"/>
    <w:rsid w:val="00CD5774"/>
    <w:rsid w:val="00CD5D19"/>
    <w:rsid w:val="00CD7A97"/>
    <w:rsid w:val="00CF37A5"/>
    <w:rsid w:val="00CF5584"/>
    <w:rsid w:val="00D07489"/>
    <w:rsid w:val="00D10B0D"/>
    <w:rsid w:val="00D142C1"/>
    <w:rsid w:val="00D153BE"/>
    <w:rsid w:val="00D339C8"/>
    <w:rsid w:val="00D3783B"/>
    <w:rsid w:val="00D42080"/>
    <w:rsid w:val="00D54F7D"/>
    <w:rsid w:val="00D5725E"/>
    <w:rsid w:val="00D65995"/>
    <w:rsid w:val="00D66033"/>
    <w:rsid w:val="00DB495C"/>
    <w:rsid w:val="00DB5806"/>
    <w:rsid w:val="00DC1BFF"/>
    <w:rsid w:val="00DC7B7A"/>
    <w:rsid w:val="00DD0CD7"/>
    <w:rsid w:val="00DE7163"/>
    <w:rsid w:val="00E042C7"/>
    <w:rsid w:val="00E05FFF"/>
    <w:rsid w:val="00E16568"/>
    <w:rsid w:val="00E16E42"/>
    <w:rsid w:val="00E21812"/>
    <w:rsid w:val="00E46613"/>
    <w:rsid w:val="00E53721"/>
    <w:rsid w:val="00E54DC5"/>
    <w:rsid w:val="00E77464"/>
    <w:rsid w:val="00EB773D"/>
    <w:rsid w:val="00EC1221"/>
    <w:rsid w:val="00ED221B"/>
    <w:rsid w:val="00EE6AAB"/>
    <w:rsid w:val="00EF2DE7"/>
    <w:rsid w:val="00F15BCC"/>
    <w:rsid w:val="00F258E6"/>
    <w:rsid w:val="00F367A9"/>
    <w:rsid w:val="00F415FF"/>
    <w:rsid w:val="00F419F3"/>
    <w:rsid w:val="00F6462A"/>
    <w:rsid w:val="00F6529D"/>
    <w:rsid w:val="00F87788"/>
    <w:rsid w:val="00F96206"/>
    <w:rsid w:val="00FE0B1C"/>
    <w:rsid w:val="00FE149C"/>
    <w:rsid w:val="00FE2A76"/>
    <w:rsid w:val="00FE4BEA"/>
    <w:rsid w:val="00FE5233"/>
    <w:rsid w:val="00FE604C"/>
    <w:rsid w:val="00FF772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596A54"/>
  <w15:chartTrackingRefBased/>
  <w15:docId w15:val="{51124B69-140E-4D73-8D7D-72016EA1D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AAB"/>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0AC4"/>
    <w:pPr>
      <w:tabs>
        <w:tab w:val="center" w:pos="4320"/>
        <w:tab w:val="right" w:pos="8640"/>
      </w:tabs>
      <w:spacing w:after="0"/>
    </w:pPr>
  </w:style>
  <w:style w:type="character" w:customStyle="1" w:styleId="HeaderChar">
    <w:name w:val="Header Char"/>
    <w:basedOn w:val="DefaultParagraphFont"/>
    <w:link w:val="Header"/>
    <w:uiPriority w:val="99"/>
    <w:rsid w:val="00B50AC4"/>
  </w:style>
  <w:style w:type="paragraph" w:styleId="Footer">
    <w:name w:val="footer"/>
    <w:basedOn w:val="Normal"/>
    <w:link w:val="FooterChar"/>
    <w:uiPriority w:val="99"/>
    <w:unhideWhenUsed/>
    <w:rsid w:val="00B50AC4"/>
    <w:pPr>
      <w:tabs>
        <w:tab w:val="center" w:pos="4320"/>
        <w:tab w:val="right" w:pos="8640"/>
      </w:tabs>
      <w:spacing w:after="0"/>
    </w:pPr>
  </w:style>
  <w:style w:type="character" w:customStyle="1" w:styleId="FooterChar">
    <w:name w:val="Footer Char"/>
    <w:basedOn w:val="DefaultParagraphFont"/>
    <w:link w:val="Footer"/>
    <w:uiPriority w:val="99"/>
    <w:rsid w:val="00B50AC4"/>
  </w:style>
  <w:style w:type="paragraph" w:styleId="BalloonText">
    <w:name w:val="Balloon Text"/>
    <w:basedOn w:val="Normal"/>
    <w:link w:val="BalloonTextChar"/>
    <w:uiPriority w:val="99"/>
    <w:semiHidden/>
    <w:unhideWhenUsed/>
    <w:rsid w:val="00B50AC4"/>
    <w:pPr>
      <w:spacing w:after="0"/>
    </w:pPr>
    <w:rPr>
      <w:rFonts w:ascii="Lucida Grande" w:hAnsi="Lucida Grande"/>
      <w:sz w:val="18"/>
      <w:szCs w:val="18"/>
    </w:rPr>
  </w:style>
  <w:style w:type="character" w:customStyle="1" w:styleId="BalloonTextChar">
    <w:name w:val="Balloon Text Char"/>
    <w:link w:val="BalloonText"/>
    <w:uiPriority w:val="99"/>
    <w:semiHidden/>
    <w:rsid w:val="00B50AC4"/>
    <w:rPr>
      <w:rFonts w:ascii="Lucida Grande" w:hAnsi="Lucida Grande"/>
      <w:sz w:val="18"/>
      <w:szCs w:val="18"/>
    </w:rPr>
  </w:style>
  <w:style w:type="character" w:styleId="Hyperlink">
    <w:name w:val="Hyperlink"/>
    <w:unhideWhenUsed/>
    <w:rsid w:val="00821CF5"/>
    <w:rPr>
      <w:rFonts w:ascii="Times New Roman" w:hAnsi="Times New Roman" w:cs="Times New Roman" w:hint="default"/>
      <w:color w:val="0000FF"/>
      <w:u w:val="single"/>
    </w:rPr>
  </w:style>
  <w:style w:type="paragraph" w:customStyle="1" w:styleId="Level1">
    <w:name w:val="Level 1"/>
    <w:basedOn w:val="Normal"/>
    <w:rsid w:val="008678A0"/>
    <w:pPr>
      <w:widowControl w:val="0"/>
      <w:spacing w:after="0"/>
    </w:pPr>
    <w:rPr>
      <w:rFonts w:ascii="Times New Roman" w:eastAsia="Times New Roman" w:hAnsi="Times New Roman"/>
      <w:szCs w:val="20"/>
      <w:lang w:eastAsia="en-US"/>
    </w:rPr>
  </w:style>
  <w:style w:type="character" w:customStyle="1" w:styleId="WPHyperlink">
    <w:name w:val="WP_Hyperlink"/>
    <w:rsid w:val="008678A0"/>
    <w:rPr>
      <w:color w:val="0000FF"/>
      <w:u w:val="single"/>
    </w:rPr>
  </w:style>
  <w:style w:type="character" w:styleId="FollowedHyperlink">
    <w:name w:val="FollowedHyperlink"/>
    <w:uiPriority w:val="99"/>
    <w:semiHidden/>
    <w:unhideWhenUsed/>
    <w:rsid w:val="00AF0C79"/>
    <w:rPr>
      <w:color w:val="800080"/>
      <w:u w:val="single"/>
    </w:rPr>
  </w:style>
  <w:style w:type="paragraph" w:styleId="ListParagraph">
    <w:name w:val="List Paragraph"/>
    <w:basedOn w:val="Normal"/>
    <w:uiPriority w:val="34"/>
    <w:qFormat/>
    <w:rsid w:val="00691716"/>
    <w:pPr>
      <w:ind w:left="720"/>
    </w:pPr>
  </w:style>
  <w:style w:type="character" w:customStyle="1" w:styleId="UnresolvedMention1">
    <w:name w:val="Unresolved Mention1"/>
    <w:uiPriority w:val="99"/>
    <w:semiHidden/>
    <w:unhideWhenUsed/>
    <w:rsid w:val="00793CC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59102">
      <w:bodyDiv w:val="1"/>
      <w:marLeft w:val="0"/>
      <w:marRight w:val="0"/>
      <w:marTop w:val="0"/>
      <w:marBottom w:val="0"/>
      <w:divBdr>
        <w:top w:val="none" w:sz="0" w:space="0" w:color="auto"/>
        <w:left w:val="none" w:sz="0" w:space="0" w:color="auto"/>
        <w:bottom w:val="none" w:sz="0" w:space="0" w:color="auto"/>
        <w:right w:val="none" w:sz="0" w:space="0" w:color="auto"/>
      </w:divBdr>
    </w:div>
    <w:div w:id="514924670">
      <w:bodyDiv w:val="1"/>
      <w:marLeft w:val="0"/>
      <w:marRight w:val="0"/>
      <w:marTop w:val="0"/>
      <w:marBottom w:val="0"/>
      <w:divBdr>
        <w:top w:val="none" w:sz="0" w:space="0" w:color="auto"/>
        <w:left w:val="none" w:sz="0" w:space="0" w:color="auto"/>
        <w:bottom w:val="none" w:sz="0" w:space="0" w:color="auto"/>
        <w:right w:val="none" w:sz="0" w:space="0" w:color="auto"/>
      </w:divBdr>
    </w:div>
    <w:div w:id="1982886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736944389561345E-2"/>
          <c:y val="6.8073993007191774E-2"/>
          <c:w val="0.87109902603186529"/>
          <c:h val="0.74897666221325221"/>
        </c:manualLayout>
      </c:layout>
      <c:barChart>
        <c:barDir val="col"/>
        <c:grouping val="clustered"/>
        <c:varyColors val="0"/>
        <c:ser>
          <c:idx val="0"/>
          <c:order val="0"/>
          <c:tx>
            <c:strRef>
              <c:f>dicamba_data!$N$2</c:f>
              <c:strCache>
                <c:ptCount val="1"/>
                <c:pt idx="0">
                  <c:v>Count</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dLbl>
              <c:idx val="3"/>
              <c:layout>
                <c:manualLayout>
                  <c:x val="-1.5082782021841867E-16"/>
                  <c:y val="1.805054151624547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650-4A58-8123-844F3506B55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dicamba_data!$M$3:$M$7</c:f>
              <c:numCache>
                <c:formatCode>@</c:formatCode>
                <c:ptCount val="5"/>
                <c:pt idx="0">
                  <c:v>1</c:v>
                </c:pt>
                <c:pt idx="1">
                  <c:v>2</c:v>
                </c:pt>
                <c:pt idx="2">
                  <c:v>3</c:v>
                </c:pt>
                <c:pt idx="3">
                  <c:v>4</c:v>
                </c:pt>
                <c:pt idx="4">
                  <c:v>5</c:v>
                </c:pt>
              </c:numCache>
            </c:numRef>
          </c:cat>
          <c:val>
            <c:numRef>
              <c:f>dicamba_data!$N$3:$N$7</c:f>
              <c:numCache>
                <c:formatCode>General</c:formatCode>
                <c:ptCount val="5"/>
                <c:pt idx="0">
                  <c:v>81</c:v>
                </c:pt>
                <c:pt idx="1">
                  <c:v>2</c:v>
                </c:pt>
                <c:pt idx="2">
                  <c:v>123</c:v>
                </c:pt>
                <c:pt idx="3">
                  <c:v>281</c:v>
                </c:pt>
                <c:pt idx="4">
                  <c:v>161</c:v>
                </c:pt>
              </c:numCache>
            </c:numRef>
          </c:val>
          <c:extLst>
            <c:ext xmlns:c16="http://schemas.microsoft.com/office/drawing/2014/chart" uri="{C3380CC4-5D6E-409C-BE32-E72D297353CC}">
              <c16:uniqueId val="{00000001-1650-4A58-8123-844F3506B558}"/>
            </c:ext>
          </c:extLst>
        </c:ser>
        <c:dLbls>
          <c:dLblPos val="outEnd"/>
          <c:showLegendKey val="0"/>
          <c:showVal val="1"/>
          <c:showCatName val="0"/>
          <c:showSerName val="0"/>
          <c:showPercent val="0"/>
          <c:showBubbleSize val="0"/>
        </c:dLbls>
        <c:gapWidth val="100"/>
        <c:overlap val="-24"/>
        <c:axId val="472097216"/>
        <c:axId val="472100496"/>
      </c:barChart>
      <c:catAx>
        <c:axId val="472097216"/>
        <c:scaling>
          <c:orientation val="minMax"/>
        </c:scaling>
        <c:delete val="0"/>
        <c:axPos val="b"/>
        <c:majorGridlines>
          <c:spPr>
            <a:ln w="12700" cap="flat" cmpd="sng" algn="ctr">
              <a:solidFill>
                <a:schemeClr val="bg1"/>
              </a:solidFill>
              <a:round/>
            </a:ln>
            <a:effectLst/>
          </c:spPr>
        </c:majorGridlines>
        <c:title>
          <c:tx>
            <c:rich>
              <a:bodyPr rot="0" spcFirstLastPara="1" vertOverflow="ellipsis" vert="horz" wrap="square" anchor="ctr" anchorCtr="1"/>
              <a:lstStyle/>
              <a:p>
                <a:pPr>
                  <a:defRPr sz="1800" b="1" i="0" u="none" strike="noStrike" kern="1200" baseline="0">
                    <a:solidFill>
                      <a:schemeClr val="tx2"/>
                    </a:solidFill>
                    <a:latin typeface="+mn-lt"/>
                    <a:ea typeface="+mn-ea"/>
                    <a:cs typeface="+mn-cs"/>
                  </a:defRPr>
                </a:pPr>
                <a:r>
                  <a:rPr lang="en-US" sz="1400"/>
                  <a:t>Score</a:t>
                </a:r>
                <a:endParaRPr lang="en-US" sz="1800"/>
              </a:p>
            </c:rich>
          </c:tx>
          <c:layout>
            <c:manualLayout>
              <c:xMode val="edge"/>
              <c:yMode val="edge"/>
              <c:x val="0.48374738254972871"/>
              <c:y val="0.91076544706942264"/>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tx2"/>
                  </a:solidFill>
                  <a:latin typeface="+mn-lt"/>
                  <a:ea typeface="+mn-ea"/>
                  <a:cs typeface="+mn-cs"/>
                </a:defRPr>
              </a:pPr>
              <a:endParaRPr lang="en-US"/>
            </a:p>
          </c:txPr>
        </c:title>
        <c:numFmt formatCode="@"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2"/>
                </a:solidFill>
                <a:latin typeface="+mn-lt"/>
                <a:ea typeface="+mn-ea"/>
                <a:cs typeface="+mn-cs"/>
              </a:defRPr>
            </a:pPr>
            <a:endParaRPr lang="en-US"/>
          </a:p>
        </c:txPr>
        <c:crossAx val="472100496"/>
        <c:crosses val="autoZero"/>
        <c:auto val="1"/>
        <c:lblAlgn val="ctr"/>
        <c:lblOffset val="100"/>
        <c:noMultiLvlLbl val="0"/>
      </c:catAx>
      <c:valAx>
        <c:axId val="472100496"/>
        <c:scaling>
          <c:orientation val="minMax"/>
        </c:scaling>
        <c:delete val="0"/>
        <c:axPos val="l"/>
        <c:majorGridlines>
          <c:spPr>
            <a:ln w="12700" cap="flat" cmpd="sng" algn="ctr">
              <a:solidFill>
                <a:schemeClr val="bg1"/>
              </a:solidFill>
              <a:round/>
            </a:ln>
            <a:effectLst/>
          </c:spPr>
        </c:majorGridlines>
        <c:title>
          <c:tx>
            <c:rich>
              <a:bodyPr rot="-5400000" spcFirstLastPara="1" vertOverflow="ellipsis" vert="horz" wrap="square" anchor="ctr" anchorCtr="1"/>
              <a:lstStyle/>
              <a:p>
                <a:pPr>
                  <a:defRPr sz="1400" b="1" i="0" u="none" strike="noStrike" kern="1200" baseline="0">
                    <a:solidFill>
                      <a:schemeClr val="tx2"/>
                    </a:solidFill>
                    <a:latin typeface="+mn-lt"/>
                    <a:ea typeface="+mn-ea"/>
                    <a:cs typeface="+mn-cs"/>
                  </a:defRPr>
                </a:pPr>
                <a:r>
                  <a:rPr lang="en-US" sz="1400"/>
                  <a:t>Count</a:t>
                </a:r>
              </a:p>
            </c:rich>
          </c:tx>
          <c:overlay val="0"/>
          <c:spPr>
            <a:noFill/>
            <a:ln>
              <a:noFill/>
            </a:ln>
            <a:effectLst/>
          </c:spPr>
          <c:txPr>
            <a:bodyPr rot="-5400000" spcFirstLastPara="1" vertOverflow="ellipsis" vert="horz" wrap="square" anchor="ctr" anchorCtr="1"/>
            <a:lstStyle/>
            <a:p>
              <a:pPr>
                <a:defRPr sz="14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72097216"/>
        <c:crosses val="autoZero"/>
        <c:crossBetween val="between"/>
      </c:valAx>
      <c:spPr>
        <a:solidFill>
          <a:schemeClr val="bg1">
            <a:lumMod val="95000"/>
            <a:alpha val="62000"/>
          </a:schemeClr>
        </a:solid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0C9F7-A7B8-4AD0-A712-EB0D23B3B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2001</Words>
  <Characters>11411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O&amp;B</Company>
  <LinksUpToDate>false</LinksUpToDate>
  <CharactersWithSpaces>13386</CharactersWithSpaces>
  <SharedDoc>false</SharedDoc>
  <HLinks>
    <vt:vector size="30" baseType="variant">
      <vt:variant>
        <vt:i4>262205</vt:i4>
      </vt:variant>
      <vt:variant>
        <vt:i4>14</vt:i4>
      </vt:variant>
      <vt:variant>
        <vt:i4>0</vt:i4>
      </vt:variant>
      <vt:variant>
        <vt:i4>5</vt:i4>
      </vt:variant>
      <vt:variant>
        <vt:lpwstr>mailto:larryheatherly@bellsouth.net</vt:lpwstr>
      </vt:variant>
      <vt:variant>
        <vt:lpwstr/>
      </vt:variant>
      <vt:variant>
        <vt:i4>3735556</vt:i4>
      </vt:variant>
      <vt:variant>
        <vt:i4>11</vt:i4>
      </vt:variant>
      <vt:variant>
        <vt:i4>0</vt:i4>
      </vt:variant>
      <vt:variant>
        <vt:i4>5</vt:i4>
      </vt:variant>
      <vt:variant>
        <vt:lpwstr>mailto:kelleythompson@cpabea.com</vt:lpwstr>
      </vt:variant>
      <vt:variant>
        <vt:lpwstr/>
      </vt:variant>
      <vt:variant>
        <vt:i4>6094893</vt:i4>
      </vt:variant>
      <vt:variant>
        <vt:i4>8</vt:i4>
      </vt:variant>
      <vt:variant>
        <vt:i4>0</vt:i4>
      </vt:variant>
      <vt:variant>
        <vt:i4>5</vt:i4>
      </vt:variant>
      <vt:variant>
        <vt:lpwstr>mailto:mdowns@mafes.msstate.edu</vt:lpwstr>
      </vt:variant>
      <vt:variant>
        <vt:lpwstr/>
      </vt:variant>
      <vt:variant>
        <vt:i4>262205</vt:i4>
      </vt:variant>
      <vt:variant>
        <vt:i4>5</vt:i4>
      </vt:variant>
      <vt:variant>
        <vt:i4>0</vt:i4>
      </vt:variant>
      <vt:variant>
        <vt:i4>5</vt:i4>
      </vt:variant>
      <vt:variant>
        <vt:lpwstr>mailto:larryheatherly@bellsouth.net</vt:lpwstr>
      </vt:variant>
      <vt:variant>
        <vt:lpwstr/>
      </vt:variant>
      <vt:variant>
        <vt:i4>262205</vt:i4>
      </vt:variant>
      <vt:variant>
        <vt:i4>2</vt:i4>
      </vt:variant>
      <vt:variant>
        <vt:i4>0</vt:i4>
      </vt:variant>
      <vt:variant>
        <vt:i4>5</vt:i4>
      </vt:variant>
      <vt:variant>
        <vt:lpwstr>mailto:larryheatherly@bellsouth.net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Washburn</dc:creator>
  <cp:keywords/>
  <cp:lastModifiedBy>Dawn</cp:lastModifiedBy>
  <cp:revision>2</cp:revision>
  <cp:lastPrinted>2019-07-17T15:01:00Z</cp:lastPrinted>
  <dcterms:created xsi:type="dcterms:W3CDTF">2020-02-03T19:40:00Z</dcterms:created>
  <dcterms:modified xsi:type="dcterms:W3CDTF">2020-02-03T19:40:00Z</dcterms:modified>
</cp:coreProperties>
</file>