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6D6AD639" w14:textId="77777777" w:rsidTr="001D1DD2">
        <w:tc>
          <w:tcPr>
            <w:tcW w:w="9000" w:type="dxa"/>
            <w:gridSpan w:val="2"/>
            <w:tcMar>
              <w:top w:w="43" w:type="dxa"/>
              <w:left w:w="0" w:type="dxa"/>
              <w:bottom w:w="43" w:type="dxa"/>
              <w:right w:w="0" w:type="dxa"/>
            </w:tcMar>
          </w:tcPr>
          <w:p w14:paraId="36015D7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6A0BADB7" w14:textId="77777777" w:rsidTr="001D1DD2">
        <w:tc>
          <w:tcPr>
            <w:tcW w:w="1880" w:type="dxa"/>
            <w:tcMar>
              <w:top w:w="43" w:type="dxa"/>
              <w:left w:w="0" w:type="dxa"/>
              <w:bottom w:w="43" w:type="dxa"/>
              <w:right w:w="0" w:type="dxa"/>
            </w:tcMar>
          </w:tcPr>
          <w:p w14:paraId="36A9338E"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Project Number: </w:t>
            </w:r>
          </w:p>
        </w:tc>
        <w:tc>
          <w:tcPr>
            <w:tcW w:w="7120" w:type="dxa"/>
            <w:tcMar>
              <w:top w:w="43" w:type="dxa"/>
              <w:left w:w="0" w:type="dxa"/>
              <w:bottom w:w="43" w:type="dxa"/>
              <w:right w:w="0" w:type="dxa"/>
            </w:tcMar>
          </w:tcPr>
          <w:p w14:paraId="142BA954" w14:textId="77777777" w:rsidR="00335A26" w:rsidRPr="003507CA" w:rsidRDefault="00335A26" w:rsidP="003507CA">
            <w:pPr>
              <w:spacing w:line="240" w:lineRule="auto"/>
              <w:rPr>
                <w:rFonts w:asciiTheme="minorHAnsi" w:hAnsiTheme="minorHAnsi" w:cstheme="minorHAnsi"/>
                <w:sz w:val="22"/>
                <w:szCs w:val="22"/>
              </w:rPr>
            </w:pPr>
          </w:p>
        </w:tc>
      </w:tr>
      <w:tr w:rsidR="009D5AFE" w:rsidRPr="003507CA" w14:paraId="7466C31C" w14:textId="77777777" w:rsidTr="001D1DD2">
        <w:tc>
          <w:tcPr>
            <w:tcW w:w="1880" w:type="dxa"/>
            <w:tcMar>
              <w:top w:w="43" w:type="dxa"/>
              <w:left w:w="0" w:type="dxa"/>
              <w:bottom w:w="43" w:type="dxa"/>
              <w:right w:w="0" w:type="dxa"/>
            </w:tcMar>
          </w:tcPr>
          <w:p w14:paraId="5D143A24"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C077029" w14:textId="6FA64553" w:rsidR="00335A26" w:rsidRPr="00370E27" w:rsidRDefault="00370E27" w:rsidP="003507CA">
            <w:pPr>
              <w:spacing w:line="240" w:lineRule="auto"/>
              <w:rPr>
                <w:rFonts w:asciiTheme="minorHAnsi" w:hAnsiTheme="minorHAnsi" w:cstheme="minorHAnsi"/>
                <w:sz w:val="22"/>
                <w:szCs w:val="22"/>
              </w:rPr>
            </w:pPr>
            <w:r w:rsidRPr="00370E27">
              <w:rPr>
                <w:rFonts w:asciiTheme="minorHAnsi" w:hAnsiTheme="minorHAnsi" w:cstheme="minorHAnsi"/>
                <w:sz w:val="22"/>
                <w:szCs w:val="22"/>
              </w:rPr>
              <w:t>Southern Root-Knot Nematode in Maturity Group 4 Soybean: Characterization of Resistance Mechanisms and Breeding for Resistance</w:t>
            </w:r>
          </w:p>
        </w:tc>
      </w:tr>
      <w:tr w:rsidR="009D5AFE" w:rsidRPr="003507CA" w14:paraId="19040630" w14:textId="77777777" w:rsidTr="001D1DD2">
        <w:tc>
          <w:tcPr>
            <w:tcW w:w="1880" w:type="dxa"/>
            <w:tcMar>
              <w:top w:w="43" w:type="dxa"/>
              <w:left w:w="0" w:type="dxa"/>
              <w:bottom w:w="43" w:type="dxa"/>
              <w:right w:w="0" w:type="dxa"/>
            </w:tcMar>
          </w:tcPr>
          <w:p w14:paraId="255810DE" w14:textId="77777777" w:rsidR="00335A26" w:rsidRPr="003507CA" w:rsidRDefault="00FF4F4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E8BECB1" w14:textId="6318EC9B" w:rsidR="00335A26" w:rsidRPr="003507CA" w:rsidRDefault="00370E27" w:rsidP="003507CA">
            <w:pPr>
              <w:spacing w:line="240" w:lineRule="auto"/>
              <w:rPr>
                <w:rFonts w:asciiTheme="minorHAnsi" w:hAnsiTheme="minorHAnsi" w:cstheme="minorHAnsi"/>
                <w:sz w:val="22"/>
                <w:szCs w:val="22"/>
              </w:rPr>
            </w:pPr>
            <w:r>
              <w:rPr>
                <w:rFonts w:asciiTheme="minorHAnsi" w:hAnsiTheme="minorHAnsi" w:cstheme="minorHAnsi"/>
                <w:sz w:val="22"/>
                <w:szCs w:val="22"/>
              </w:rPr>
              <w:t>University of Arkansas</w:t>
            </w:r>
          </w:p>
        </w:tc>
      </w:tr>
      <w:tr w:rsidR="009D5AFE" w:rsidRPr="003507CA" w14:paraId="24921CE5" w14:textId="77777777" w:rsidTr="001D1DD2">
        <w:tc>
          <w:tcPr>
            <w:tcW w:w="1880" w:type="dxa"/>
            <w:tcMar>
              <w:top w:w="43" w:type="dxa"/>
              <w:left w:w="0" w:type="dxa"/>
              <w:bottom w:w="43" w:type="dxa"/>
              <w:right w:w="0" w:type="dxa"/>
            </w:tcMar>
          </w:tcPr>
          <w:p w14:paraId="4A6E28A4" w14:textId="77777777" w:rsidR="00335A26" w:rsidRPr="003507CA" w:rsidRDefault="008457BA"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7F1A072C" w14:textId="5B16C803" w:rsidR="00335A26" w:rsidRPr="003507CA" w:rsidRDefault="00370E27" w:rsidP="003507CA">
            <w:pPr>
              <w:spacing w:line="240" w:lineRule="auto"/>
              <w:rPr>
                <w:rFonts w:asciiTheme="minorHAnsi" w:hAnsiTheme="minorHAnsi" w:cstheme="minorHAnsi"/>
                <w:sz w:val="22"/>
                <w:szCs w:val="22"/>
              </w:rPr>
            </w:pPr>
            <w:r>
              <w:rPr>
                <w:rFonts w:asciiTheme="minorHAnsi" w:hAnsiTheme="minorHAnsi" w:cstheme="minorHAnsi"/>
                <w:sz w:val="22"/>
                <w:szCs w:val="22"/>
              </w:rPr>
              <w:t>Travis Faske</w:t>
            </w:r>
          </w:p>
        </w:tc>
      </w:tr>
      <w:tr w:rsidR="00B7577C" w:rsidRPr="003507CA" w14:paraId="52518465" w14:textId="77777777" w:rsidTr="001D1DD2">
        <w:tc>
          <w:tcPr>
            <w:tcW w:w="1880" w:type="dxa"/>
            <w:tcMar>
              <w:top w:w="43" w:type="dxa"/>
              <w:left w:w="0" w:type="dxa"/>
              <w:bottom w:w="43" w:type="dxa"/>
              <w:right w:w="0" w:type="dxa"/>
            </w:tcMar>
          </w:tcPr>
          <w:p w14:paraId="146B450D" w14:textId="77777777" w:rsidR="00B7577C" w:rsidRPr="003507CA" w:rsidRDefault="007C520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Report Date</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244BE9D" w14:textId="4C20C9CC" w:rsidR="00B7577C" w:rsidRPr="003507CA" w:rsidRDefault="00CD24CD" w:rsidP="003507CA">
            <w:pPr>
              <w:spacing w:line="240" w:lineRule="auto"/>
              <w:rPr>
                <w:rFonts w:asciiTheme="minorHAnsi" w:hAnsiTheme="minorHAnsi" w:cstheme="minorHAnsi"/>
                <w:sz w:val="22"/>
                <w:szCs w:val="22"/>
              </w:rPr>
            </w:pPr>
            <w:r>
              <w:rPr>
                <w:rFonts w:asciiTheme="minorHAnsi" w:hAnsiTheme="minorHAnsi" w:cstheme="minorHAnsi"/>
                <w:sz w:val="22"/>
                <w:szCs w:val="22"/>
              </w:rPr>
              <w:t>Dec</w:t>
            </w:r>
            <w:r w:rsidR="004D6316">
              <w:rPr>
                <w:rFonts w:asciiTheme="minorHAnsi" w:hAnsiTheme="minorHAnsi" w:cstheme="minorHAnsi"/>
                <w:sz w:val="22"/>
                <w:szCs w:val="22"/>
              </w:rPr>
              <w:t xml:space="preserve"> 15</w:t>
            </w:r>
            <w:r w:rsidR="009742F4">
              <w:rPr>
                <w:rFonts w:asciiTheme="minorHAnsi" w:hAnsiTheme="minorHAnsi" w:cstheme="minorHAnsi"/>
                <w:sz w:val="22"/>
                <w:szCs w:val="22"/>
              </w:rPr>
              <w:t xml:space="preserve"> to Mar 15</w:t>
            </w:r>
          </w:p>
        </w:tc>
      </w:tr>
      <w:tr w:rsidR="00957DE7" w:rsidRPr="003507CA" w14:paraId="6A338B8A" w14:textId="77777777" w:rsidTr="001D1DD2">
        <w:tc>
          <w:tcPr>
            <w:tcW w:w="9000" w:type="dxa"/>
            <w:gridSpan w:val="2"/>
            <w:shd w:val="clear" w:color="auto" w:fill="FFFF99"/>
            <w:tcMar>
              <w:top w:w="43" w:type="dxa"/>
              <w:left w:w="0" w:type="dxa"/>
              <w:bottom w:w="43" w:type="dxa"/>
              <w:right w:w="0" w:type="dxa"/>
            </w:tcMar>
          </w:tcPr>
          <w:p w14:paraId="1C50FE2B" w14:textId="77777777" w:rsidR="00957DE7" w:rsidRPr="003507CA" w:rsidRDefault="00957DE7" w:rsidP="004307E6">
            <w:pPr>
              <w:tabs>
                <w:tab w:val="left" w:pos="358"/>
              </w:tabs>
              <w:spacing w:line="240" w:lineRule="auto"/>
              <w:rPr>
                <w:rFonts w:asciiTheme="minorHAnsi" w:hAnsiTheme="minorHAnsi" w:cstheme="minorHAnsi"/>
                <w:sz w:val="22"/>
                <w:szCs w:val="22"/>
              </w:rPr>
            </w:pPr>
            <w:r w:rsidRPr="003507CA">
              <w:rPr>
                <w:rFonts w:asciiTheme="minorHAnsi" w:eastAsia="MS Gothic" w:hAnsiTheme="minorHAnsi" w:cstheme="minorHAnsi"/>
                <w:b/>
                <w:sz w:val="16"/>
                <w:szCs w:val="22"/>
              </w:rPr>
              <w:t>National Soybean Checkoff Research Database</w:t>
            </w:r>
            <w:r w:rsidRPr="003507CA">
              <w:rPr>
                <w:rFonts w:asciiTheme="minorHAnsi" w:hAnsiTheme="minorHAnsi" w:cstheme="minorHAnsi"/>
                <w:b/>
                <w:sz w:val="16"/>
                <w:szCs w:val="22"/>
              </w:rPr>
              <w:t xml:space="preserve"> </w:t>
            </w:r>
            <w:hyperlink r:id="rId8" w:history="1">
              <w:r w:rsidRPr="003507CA">
                <w:rPr>
                  <w:rFonts w:asciiTheme="minorHAnsi" w:hAnsiTheme="minorHAnsi" w:cstheme="minorHAnsi"/>
                  <w:b/>
                  <w:color w:val="0000FF"/>
                  <w:sz w:val="16"/>
                  <w:szCs w:val="22"/>
                  <w:u w:val="single"/>
                </w:rPr>
                <w:t>https://www.soybeanresearchdata.com/</w:t>
              </w:r>
            </w:hyperlink>
            <w:r w:rsidRPr="003507CA">
              <w:rPr>
                <w:rFonts w:asciiTheme="minorHAnsi" w:hAnsiTheme="minorHAnsi" w:cstheme="minorHAnsi"/>
                <w:b/>
                <w:sz w:val="16"/>
                <w:szCs w:val="22"/>
              </w:rPr>
              <w:t xml:space="preserve"> (public</w:t>
            </w:r>
            <w:r w:rsidR="00E24EB0" w:rsidRPr="003507CA">
              <w:rPr>
                <w:rFonts w:asciiTheme="minorHAnsi" w:hAnsiTheme="minorHAnsi" w:cstheme="minorHAnsi"/>
                <w:b/>
                <w:sz w:val="16"/>
                <w:szCs w:val="22"/>
              </w:rPr>
              <w:t xml:space="preserve"> website funded by USB</w:t>
            </w:r>
            <w:r w:rsidR="00657693" w:rsidRPr="003507CA">
              <w:rPr>
                <w:rFonts w:asciiTheme="minorHAnsi" w:hAnsiTheme="minorHAnsi" w:cstheme="minorHAnsi"/>
                <w:b/>
                <w:sz w:val="16"/>
                <w:szCs w:val="22"/>
              </w:rPr>
              <w:t>)</w:t>
            </w:r>
            <w:r w:rsidR="00E24EB0" w:rsidRPr="003507CA">
              <w:rPr>
                <w:rFonts w:asciiTheme="minorHAnsi" w:hAnsiTheme="minorHAnsi" w:cstheme="minorHAnsi"/>
                <w:b/>
                <w:sz w:val="16"/>
                <w:szCs w:val="22"/>
              </w:rPr>
              <w:t xml:space="preserve">.  </w:t>
            </w:r>
            <w:r w:rsidR="00657693" w:rsidRPr="003507CA">
              <w:rPr>
                <w:rFonts w:asciiTheme="minorHAnsi" w:hAnsiTheme="minorHAnsi" w:cstheme="minorHAnsi"/>
                <w:b/>
                <w:sz w:val="16"/>
                <w:szCs w:val="22"/>
              </w:rPr>
              <w:t xml:space="preserve">Please </w:t>
            </w:r>
            <w:r w:rsidR="00685ED5">
              <w:rPr>
                <w:rFonts w:asciiTheme="minorHAnsi" w:hAnsiTheme="minorHAnsi" w:cstheme="minorHAnsi"/>
                <w:b/>
                <w:sz w:val="16"/>
                <w:szCs w:val="22"/>
              </w:rPr>
              <w:t xml:space="preserve">include a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along with your project status.  The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will be published to the website.  </w:t>
            </w:r>
            <w:r w:rsidR="00657693" w:rsidRPr="003507CA">
              <w:rPr>
                <w:rFonts w:asciiTheme="minorHAnsi" w:hAnsiTheme="minorHAnsi" w:cstheme="minorHAnsi"/>
                <w:b/>
                <w:sz w:val="16"/>
                <w:szCs w:val="22"/>
                <w:u w:val="single"/>
              </w:rPr>
              <w:t xml:space="preserve">If a non-technical </w:t>
            </w:r>
            <w:r w:rsidR="004307E6">
              <w:rPr>
                <w:rFonts w:asciiTheme="minorHAnsi" w:hAnsiTheme="minorHAnsi" w:cstheme="minorHAnsi"/>
                <w:b/>
                <w:sz w:val="16"/>
                <w:szCs w:val="22"/>
                <w:u w:val="single"/>
              </w:rPr>
              <w:t>project</w:t>
            </w:r>
            <w:r w:rsidR="00685ED5">
              <w:rPr>
                <w:rFonts w:asciiTheme="minorHAnsi" w:hAnsiTheme="minorHAnsi" w:cstheme="minorHAnsi"/>
                <w:b/>
                <w:sz w:val="16"/>
                <w:szCs w:val="22"/>
                <w:u w:val="single"/>
              </w:rPr>
              <w:t xml:space="preserve"> status </w:t>
            </w:r>
            <w:r w:rsidR="00657693" w:rsidRPr="003507CA">
              <w:rPr>
                <w:rFonts w:asciiTheme="minorHAnsi" w:hAnsiTheme="minorHAnsi" w:cstheme="minorHAnsi"/>
                <w:b/>
                <w:sz w:val="16"/>
                <w:szCs w:val="22"/>
                <w:u w:val="single"/>
              </w:rPr>
              <w:t>is not provided, the contents of this entire report will be published</w:t>
            </w:r>
            <w:r w:rsidR="00657693" w:rsidRPr="003507CA">
              <w:rPr>
                <w:rFonts w:asciiTheme="minorHAnsi" w:hAnsiTheme="minorHAnsi" w:cstheme="minorHAnsi"/>
                <w:b/>
                <w:sz w:val="16"/>
                <w:szCs w:val="22"/>
              </w:rPr>
              <w:t>.</w:t>
            </w:r>
          </w:p>
        </w:tc>
      </w:tr>
      <w:tr w:rsidR="00957DE7" w:rsidRPr="003507CA" w14:paraId="1805332A"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567D17C1" w14:textId="77777777" w:rsidR="00957DE7" w:rsidRPr="003507CA" w:rsidRDefault="00957DE7" w:rsidP="003507CA">
            <w:pPr>
              <w:pStyle w:val="Heading2"/>
              <w:numPr>
                <w:ilvl w:val="0"/>
                <w:numId w:val="0"/>
              </w:numPr>
              <w:spacing w:after="0"/>
              <w:outlineLvl w:val="1"/>
              <w:rPr>
                <w:rFonts w:asciiTheme="minorHAnsi" w:hAnsiTheme="minorHAnsi" w:cstheme="minorHAnsi"/>
                <w:b w:val="0"/>
                <w:sz w:val="22"/>
                <w:szCs w:val="22"/>
              </w:rPr>
            </w:pPr>
            <w:r w:rsidRPr="003507CA">
              <w:rPr>
                <w:rFonts w:asciiTheme="minorHAnsi" w:hAnsiTheme="minorHAnsi" w:cstheme="minorHAnsi"/>
                <w:sz w:val="22"/>
                <w:szCs w:val="22"/>
              </w:rPr>
              <w:t>Project Status</w:t>
            </w:r>
            <w:r w:rsidRPr="003507CA">
              <w:rPr>
                <w:rFonts w:asciiTheme="minorHAnsi" w:hAnsiTheme="minorHAnsi" w:cstheme="minorHAnsi"/>
                <w:b w:val="0"/>
                <w:sz w:val="22"/>
                <w:szCs w:val="22"/>
              </w:rPr>
              <w:t>:</w:t>
            </w:r>
          </w:p>
        </w:tc>
      </w:tr>
      <w:tr w:rsidR="00957DE7" w:rsidRPr="00CA44C9" w14:paraId="021213E3" w14:textId="77777777" w:rsidTr="008A44FA">
        <w:trPr>
          <w:trHeight w:val="2017"/>
        </w:trPr>
        <w:tc>
          <w:tcPr>
            <w:tcW w:w="9000" w:type="dxa"/>
            <w:gridSpan w:val="2"/>
            <w:tcMar>
              <w:top w:w="43" w:type="dxa"/>
              <w:left w:w="0" w:type="dxa"/>
              <w:bottom w:w="43" w:type="dxa"/>
              <w:right w:w="0" w:type="dxa"/>
            </w:tcMar>
          </w:tcPr>
          <w:p w14:paraId="2BD247AF" w14:textId="0BB91662" w:rsidR="00762B88" w:rsidRPr="00B62C84" w:rsidRDefault="00370E27" w:rsidP="00CA44C9">
            <w:pPr>
              <w:pStyle w:val="NoSpacing"/>
              <w:rPr>
                <w:rFonts w:asciiTheme="minorHAnsi" w:hAnsiTheme="minorHAnsi" w:cstheme="minorHAnsi"/>
                <w:b/>
                <w:sz w:val="20"/>
                <w:szCs w:val="20"/>
              </w:rPr>
            </w:pPr>
            <w:r w:rsidRPr="00B62C84">
              <w:rPr>
                <w:rFonts w:asciiTheme="minorHAnsi" w:hAnsiTheme="minorHAnsi" w:cstheme="minorHAnsi"/>
                <w:b/>
                <w:sz w:val="20"/>
                <w:szCs w:val="20"/>
              </w:rPr>
              <w:t>Obj. 1: Characterization of the mechanism of resistance to SRKN</w:t>
            </w:r>
            <w:r w:rsidR="004A74E2" w:rsidRPr="00B62C84">
              <w:rPr>
                <w:rFonts w:asciiTheme="minorHAnsi" w:hAnsiTheme="minorHAnsi" w:cstheme="minorHAnsi"/>
                <w:b/>
                <w:sz w:val="20"/>
                <w:szCs w:val="20"/>
              </w:rPr>
              <w:t>.</w:t>
            </w:r>
            <w:r w:rsidRPr="00B62C84">
              <w:rPr>
                <w:rFonts w:asciiTheme="minorHAnsi" w:hAnsiTheme="minorHAnsi" w:cstheme="minorHAnsi"/>
                <w:b/>
                <w:sz w:val="20"/>
                <w:szCs w:val="20"/>
              </w:rPr>
              <w:t xml:space="preserve"> </w:t>
            </w:r>
            <w:r w:rsidR="009742F4">
              <w:rPr>
                <w:rFonts w:asciiTheme="minorHAnsi" w:hAnsiTheme="minorHAnsi" w:cstheme="minorHAnsi"/>
                <w:b/>
                <w:sz w:val="20"/>
                <w:szCs w:val="20"/>
              </w:rPr>
              <w:t>(Faske and Watson)</w:t>
            </w:r>
          </w:p>
          <w:p w14:paraId="1EA1452A" w14:textId="5FA5D9F0" w:rsidR="00DB0DFF" w:rsidRPr="00DB0DFF" w:rsidRDefault="00DB0DFF" w:rsidP="00573FE3">
            <w:pPr>
              <w:numPr>
                <w:ilvl w:val="0"/>
                <w:numId w:val="13"/>
              </w:numPr>
              <w:spacing w:line="240" w:lineRule="auto"/>
              <w:rPr>
                <w:rFonts w:asciiTheme="minorHAnsi" w:hAnsiTheme="minorHAnsi" w:cstheme="minorHAnsi"/>
                <w:sz w:val="20"/>
                <w:szCs w:val="20"/>
              </w:rPr>
            </w:pPr>
            <w:r w:rsidRPr="00DB0DFF">
              <w:rPr>
                <w:rFonts w:asciiTheme="minorHAnsi" w:hAnsiTheme="minorHAnsi" w:cstheme="minorHAnsi"/>
                <w:sz w:val="20"/>
                <w:szCs w:val="20"/>
              </w:rPr>
              <w:t xml:space="preserve">A time-course nematode development study was conducted with </w:t>
            </w:r>
            <w:proofErr w:type="gramStart"/>
            <w:r w:rsidRPr="00DB0DFF">
              <w:rPr>
                <w:rFonts w:asciiTheme="minorHAnsi" w:hAnsiTheme="minorHAnsi" w:cstheme="minorHAnsi"/>
                <w:sz w:val="20"/>
                <w:szCs w:val="20"/>
              </w:rPr>
              <w:t>3</w:t>
            </w:r>
            <w:proofErr w:type="gramEnd"/>
            <w:r w:rsidRPr="00DB0DFF">
              <w:rPr>
                <w:rFonts w:asciiTheme="minorHAnsi" w:hAnsiTheme="minorHAnsi" w:cstheme="minorHAnsi"/>
                <w:sz w:val="20"/>
                <w:szCs w:val="20"/>
              </w:rPr>
              <w:t xml:space="preserve"> newly identified maturity group 4 resistant lines (PI 567516C, PI438489B, NIL-PI), a resistant control (Forrest), and two susceptible controls (Magellan, NIL-Mag).</w:t>
            </w:r>
            <w:r w:rsidRPr="00DB0DFF">
              <w:rPr>
                <w:rFonts w:asciiTheme="minorHAnsi" w:hAnsiTheme="minorHAnsi" w:cstheme="minorHAnsi"/>
                <w:sz w:val="20"/>
                <w:szCs w:val="20"/>
              </w:rPr>
              <w:t xml:space="preserve">  </w:t>
            </w:r>
            <w:r w:rsidRPr="00DB0DFF">
              <w:rPr>
                <w:rFonts w:asciiTheme="minorHAnsi" w:hAnsiTheme="minorHAnsi" w:cstheme="minorHAnsi"/>
                <w:sz w:val="20"/>
                <w:szCs w:val="20"/>
              </w:rPr>
              <w:t>Overall, preliminary results from this time-course nematode development study suggest that newly identified maturity group 4 resistant lines may suppress nematodes by delaying the progression of nematode development from an infective J2-stage nematode to a J3/J4 nematode.</w:t>
            </w:r>
            <w:r>
              <w:rPr>
                <w:rFonts w:asciiTheme="minorHAnsi" w:hAnsiTheme="minorHAnsi" w:cstheme="minorHAnsi"/>
                <w:sz w:val="20"/>
                <w:szCs w:val="20"/>
              </w:rPr>
              <w:t xml:space="preserve">  </w:t>
            </w:r>
            <w:r w:rsidRPr="00DB0DFF">
              <w:rPr>
                <w:rFonts w:asciiTheme="minorHAnsi" w:hAnsiTheme="minorHAnsi" w:cstheme="minorHAnsi"/>
                <w:sz w:val="20"/>
                <w:szCs w:val="20"/>
              </w:rPr>
              <w:t>Data analysis continues and</w:t>
            </w:r>
            <w:r w:rsidRPr="00DB0DFF">
              <w:rPr>
                <w:rFonts w:asciiTheme="minorHAnsi" w:hAnsiTheme="minorHAnsi" w:cstheme="minorHAnsi"/>
                <w:sz w:val="20"/>
                <w:szCs w:val="20"/>
              </w:rPr>
              <w:t xml:space="preserve"> </w:t>
            </w:r>
            <w:r w:rsidRPr="00DB0DFF">
              <w:rPr>
                <w:rFonts w:asciiTheme="minorHAnsi" w:hAnsiTheme="minorHAnsi" w:cstheme="minorHAnsi"/>
                <w:sz w:val="20"/>
                <w:szCs w:val="20"/>
              </w:rPr>
              <w:t xml:space="preserve">the </w:t>
            </w:r>
            <w:r w:rsidRPr="00DB0DFF">
              <w:rPr>
                <w:rFonts w:asciiTheme="minorHAnsi" w:hAnsiTheme="minorHAnsi" w:cstheme="minorHAnsi"/>
                <w:sz w:val="20"/>
                <w:szCs w:val="20"/>
              </w:rPr>
              <w:t xml:space="preserve">experiment </w:t>
            </w:r>
            <w:proofErr w:type="gramStart"/>
            <w:r w:rsidRPr="00DB0DFF">
              <w:rPr>
                <w:rFonts w:asciiTheme="minorHAnsi" w:hAnsiTheme="minorHAnsi" w:cstheme="minorHAnsi"/>
                <w:sz w:val="20"/>
                <w:szCs w:val="20"/>
              </w:rPr>
              <w:t>will be repeated</w:t>
            </w:r>
            <w:proofErr w:type="gramEnd"/>
            <w:r w:rsidRPr="00DB0DFF">
              <w:rPr>
                <w:rFonts w:asciiTheme="minorHAnsi" w:hAnsiTheme="minorHAnsi" w:cstheme="minorHAnsi"/>
                <w:sz w:val="20"/>
                <w:szCs w:val="20"/>
              </w:rPr>
              <w:t xml:space="preserve"> in April 2023. </w:t>
            </w:r>
            <w:r w:rsidRPr="00DB0DFF">
              <w:rPr>
                <w:rFonts w:asciiTheme="minorHAnsi" w:hAnsiTheme="minorHAnsi" w:cstheme="minorHAnsi"/>
                <w:sz w:val="20"/>
                <w:szCs w:val="20"/>
              </w:rPr>
              <w:t xml:space="preserve"> (Watson)</w:t>
            </w:r>
          </w:p>
          <w:p w14:paraId="19133640" w14:textId="0C409041" w:rsidR="006E0A91" w:rsidRPr="00B62C84" w:rsidRDefault="00CB2920" w:rsidP="00CB1700">
            <w:pPr>
              <w:pStyle w:val="NoSpacing"/>
              <w:numPr>
                <w:ilvl w:val="0"/>
                <w:numId w:val="6"/>
              </w:numPr>
              <w:rPr>
                <w:rFonts w:asciiTheme="minorHAnsi" w:hAnsiTheme="minorHAnsi" w:cstheme="minorHAnsi"/>
                <w:sz w:val="20"/>
                <w:szCs w:val="20"/>
              </w:rPr>
            </w:pPr>
            <w:r w:rsidRPr="00B62C84">
              <w:rPr>
                <w:rFonts w:asciiTheme="minorHAnsi" w:hAnsiTheme="minorHAnsi" w:cstheme="minorHAnsi"/>
                <w:sz w:val="20"/>
                <w:szCs w:val="20"/>
              </w:rPr>
              <w:t xml:space="preserve">In a </w:t>
            </w:r>
            <w:r w:rsidR="00E44E9F" w:rsidRPr="00B62C84">
              <w:rPr>
                <w:rFonts w:asciiTheme="minorHAnsi" w:hAnsiTheme="minorHAnsi" w:cstheme="minorHAnsi"/>
                <w:sz w:val="20"/>
                <w:szCs w:val="20"/>
              </w:rPr>
              <w:t>preliminary</w:t>
            </w:r>
            <w:r w:rsidRPr="00B62C84">
              <w:rPr>
                <w:rFonts w:asciiTheme="minorHAnsi" w:hAnsiTheme="minorHAnsi" w:cstheme="minorHAnsi"/>
                <w:sz w:val="20"/>
                <w:szCs w:val="20"/>
              </w:rPr>
              <w:t xml:space="preserve"> study, </w:t>
            </w:r>
            <w:r w:rsidR="00E44E9F" w:rsidRPr="00B62C84">
              <w:rPr>
                <w:rFonts w:asciiTheme="minorHAnsi" w:hAnsiTheme="minorHAnsi" w:cstheme="minorHAnsi"/>
                <w:sz w:val="20"/>
                <w:szCs w:val="20"/>
              </w:rPr>
              <w:t xml:space="preserve">the susceptible cultivar ‘Anand’ and MR cultivar ‘Forrest’ were inoculated with </w:t>
            </w:r>
            <w:proofErr w:type="gramStart"/>
            <w:r w:rsidR="00E44E9F" w:rsidRPr="00B62C84">
              <w:rPr>
                <w:rFonts w:asciiTheme="minorHAnsi" w:hAnsiTheme="minorHAnsi" w:cstheme="minorHAnsi"/>
                <w:sz w:val="20"/>
                <w:szCs w:val="20"/>
              </w:rPr>
              <w:t>2</w:t>
            </w:r>
            <w:proofErr w:type="gramEnd"/>
            <w:r w:rsidR="00E44E9F" w:rsidRPr="00B62C84">
              <w:rPr>
                <w:rFonts w:asciiTheme="minorHAnsi" w:hAnsiTheme="minorHAnsi" w:cstheme="minorHAnsi"/>
                <w:sz w:val="20"/>
                <w:szCs w:val="20"/>
              </w:rPr>
              <w:t xml:space="preserve"> J2/cm</w:t>
            </w:r>
            <w:r w:rsidR="00E44E9F" w:rsidRPr="00B62C84">
              <w:rPr>
                <w:rFonts w:asciiTheme="minorHAnsi" w:hAnsiTheme="minorHAnsi" w:cstheme="minorHAnsi"/>
                <w:sz w:val="20"/>
                <w:szCs w:val="20"/>
                <w:vertAlign w:val="superscript"/>
              </w:rPr>
              <w:t>3</w:t>
            </w:r>
            <w:r w:rsidR="00E44E9F" w:rsidRPr="00B62C84">
              <w:rPr>
                <w:rFonts w:asciiTheme="minorHAnsi" w:hAnsiTheme="minorHAnsi" w:cstheme="minorHAnsi"/>
                <w:sz w:val="20"/>
                <w:szCs w:val="20"/>
              </w:rPr>
              <w:t xml:space="preserve"> soil.  </w:t>
            </w:r>
            <w:r w:rsidR="00E44E9F" w:rsidRPr="00C03C0F">
              <w:rPr>
                <w:rFonts w:asciiTheme="minorHAnsi" w:hAnsiTheme="minorHAnsi" w:cstheme="minorHAnsi"/>
                <w:i/>
                <w:sz w:val="20"/>
                <w:szCs w:val="20"/>
              </w:rPr>
              <w:t>M. incognita</w:t>
            </w:r>
            <w:r w:rsidR="00E44E9F" w:rsidRPr="00B62C84">
              <w:rPr>
                <w:rFonts w:asciiTheme="minorHAnsi" w:hAnsiTheme="minorHAnsi" w:cstheme="minorHAnsi"/>
                <w:sz w:val="20"/>
                <w:szCs w:val="20"/>
              </w:rPr>
              <w:t xml:space="preserve"> developed a feeding site in both cultivars and by 14 DAI, females </w:t>
            </w:r>
            <w:proofErr w:type="gramStart"/>
            <w:r w:rsidR="00E44E9F" w:rsidRPr="00B62C84">
              <w:rPr>
                <w:rFonts w:asciiTheme="minorHAnsi" w:hAnsiTheme="minorHAnsi" w:cstheme="minorHAnsi"/>
                <w:sz w:val="20"/>
                <w:szCs w:val="20"/>
              </w:rPr>
              <w:t>were observed</w:t>
            </w:r>
            <w:proofErr w:type="gramEnd"/>
            <w:r w:rsidR="00E44E9F" w:rsidRPr="00B62C84">
              <w:rPr>
                <w:rFonts w:asciiTheme="minorHAnsi" w:hAnsiTheme="minorHAnsi" w:cstheme="minorHAnsi"/>
                <w:sz w:val="20"/>
                <w:szCs w:val="20"/>
              </w:rPr>
              <w:t xml:space="preserve"> in both cultivars.</w:t>
            </w:r>
            <w:r w:rsidR="00DB0DFF">
              <w:rPr>
                <w:rFonts w:asciiTheme="minorHAnsi" w:hAnsiTheme="minorHAnsi" w:cstheme="minorHAnsi"/>
                <w:sz w:val="20"/>
                <w:szCs w:val="20"/>
              </w:rPr>
              <w:t xml:space="preserve">  The experiment </w:t>
            </w:r>
            <w:proofErr w:type="gramStart"/>
            <w:r w:rsidR="00DB0DFF">
              <w:rPr>
                <w:rFonts w:asciiTheme="minorHAnsi" w:hAnsiTheme="minorHAnsi" w:cstheme="minorHAnsi"/>
                <w:sz w:val="20"/>
                <w:szCs w:val="20"/>
              </w:rPr>
              <w:t>will be r</w:t>
            </w:r>
            <w:bookmarkStart w:id="0" w:name="_GoBack"/>
            <w:bookmarkEnd w:id="0"/>
            <w:r w:rsidR="00DB0DFF">
              <w:rPr>
                <w:rFonts w:asciiTheme="minorHAnsi" w:hAnsiTheme="minorHAnsi" w:cstheme="minorHAnsi"/>
                <w:sz w:val="20"/>
                <w:szCs w:val="20"/>
              </w:rPr>
              <w:t>epeated</w:t>
            </w:r>
            <w:proofErr w:type="gramEnd"/>
            <w:r w:rsidR="00DB0DFF">
              <w:rPr>
                <w:rFonts w:asciiTheme="minorHAnsi" w:hAnsiTheme="minorHAnsi" w:cstheme="minorHAnsi"/>
                <w:sz w:val="20"/>
                <w:szCs w:val="20"/>
              </w:rPr>
              <w:t xml:space="preserve"> in the next quarter. </w:t>
            </w:r>
            <w:r w:rsidR="00E044F1" w:rsidRPr="00B62C84">
              <w:rPr>
                <w:rFonts w:asciiTheme="minorHAnsi" w:hAnsiTheme="minorHAnsi" w:cstheme="minorHAnsi"/>
                <w:sz w:val="20"/>
                <w:szCs w:val="20"/>
              </w:rPr>
              <w:t xml:space="preserve"> (Faske)</w:t>
            </w:r>
          </w:p>
          <w:p w14:paraId="5F2F529A" w14:textId="77777777" w:rsidR="009742F4" w:rsidRPr="00B62C84" w:rsidRDefault="009742F4" w:rsidP="009742F4">
            <w:pPr>
              <w:pStyle w:val="NoSpacing"/>
              <w:ind w:left="720"/>
              <w:rPr>
                <w:rFonts w:asciiTheme="minorHAnsi" w:hAnsiTheme="minorHAnsi" w:cstheme="minorHAnsi"/>
                <w:sz w:val="20"/>
                <w:szCs w:val="20"/>
              </w:rPr>
            </w:pPr>
          </w:p>
          <w:p w14:paraId="0F84DC5F" w14:textId="048750FC" w:rsidR="00E044F1" w:rsidRPr="00B62C84" w:rsidRDefault="00370E27" w:rsidP="00CA44C9">
            <w:pPr>
              <w:pStyle w:val="NoSpacing"/>
              <w:rPr>
                <w:rFonts w:asciiTheme="minorHAnsi" w:hAnsiTheme="minorHAnsi" w:cstheme="minorHAnsi"/>
                <w:b/>
                <w:sz w:val="20"/>
                <w:szCs w:val="20"/>
              </w:rPr>
            </w:pPr>
            <w:r w:rsidRPr="00B62C84">
              <w:rPr>
                <w:rFonts w:asciiTheme="minorHAnsi" w:hAnsiTheme="minorHAnsi" w:cstheme="minorHAnsi"/>
                <w:b/>
                <w:sz w:val="20"/>
                <w:szCs w:val="20"/>
              </w:rPr>
              <w:t>Obj. 2: Genetic characterization and development of functional markers for new sources of resistance to SRKN</w:t>
            </w:r>
            <w:r w:rsidR="005A0CBF" w:rsidRPr="00B62C84">
              <w:rPr>
                <w:rFonts w:asciiTheme="minorHAnsi" w:hAnsiTheme="minorHAnsi" w:cstheme="minorHAnsi"/>
                <w:b/>
                <w:sz w:val="20"/>
                <w:szCs w:val="20"/>
              </w:rPr>
              <w:t>.</w:t>
            </w:r>
            <w:r w:rsidR="009742F4">
              <w:rPr>
                <w:rFonts w:asciiTheme="minorHAnsi" w:hAnsiTheme="minorHAnsi" w:cstheme="minorHAnsi"/>
                <w:b/>
                <w:sz w:val="20"/>
                <w:szCs w:val="20"/>
              </w:rPr>
              <w:t xml:space="preserve">  (Nguyen)</w:t>
            </w:r>
          </w:p>
          <w:p w14:paraId="3AA1349F" w14:textId="77777777" w:rsidR="009742F4" w:rsidRPr="009742F4" w:rsidRDefault="009742F4" w:rsidP="009742F4">
            <w:pPr>
              <w:numPr>
                <w:ilvl w:val="0"/>
                <w:numId w:val="9"/>
              </w:numPr>
              <w:spacing w:line="240" w:lineRule="auto"/>
              <w:rPr>
                <w:rFonts w:ascii="Calibri" w:hAnsi="Calibri" w:cs="Calibri"/>
                <w:sz w:val="20"/>
                <w:szCs w:val="20"/>
              </w:rPr>
            </w:pPr>
            <w:r w:rsidRPr="009742F4">
              <w:rPr>
                <w:rFonts w:ascii="Calibri" w:hAnsi="Calibri" w:cs="Calibri"/>
                <w:sz w:val="20"/>
                <w:szCs w:val="20"/>
              </w:rPr>
              <w:t>We processed the harvested seeds from the important resistant donor lines such as PI 567516C, PI 438489B, Forrest, Magellan, and near-isogenic lines (NIL) derived from the crosses of Magellan and PI 438489B at University of Missouri during this season. These seeds are packaged for the shipping to University of Arkansas and Louisiana State University for re-confirmation of resistant phenotypes in these lines.</w:t>
            </w:r>
          </w:p>
          <w:p w14:paraId="556C8D07" w14:textId="77777777" w:rsidR="009742F4" w:rsidRPr="009742F4" w:rsidRDefault="009742F4" w:rsidP="009742F4">
            <w:pPr>
              <w:numPr>
                <w:ilvl w:val="0"/>
                <w:numId w:val="9"/>
              </w:numPr>
              <w:spacing w:line="240" w:lineRule="auto"/>
              <w:rPr>
                <w:rFonts w:ascii="Calibri" w:hAnsi="Calibri" w:cs="Calibri"/>
                <w:sz w:val="20"/>
                <w:szCs w:val="20"/>
              </w:rPr>
            </w:pPr>
            <w:r w:rsidRPr="009742F4">
              <w:rPr>
                <w:rFonts w:ascii="Calibri" w:hAnsi="Calibri" w:cs="Calibri"/>
                <w:sz w:val="20"/>
                <w:szCs w:val="20"/>
              </w:rPr>
              <w:t>In addition to marker developed from the major QTL loci on Chr. 10, we are developing markers from minor QTL on Chr. 13. Currently, we are continuing the validation of these markers which can distinguish the SRKN resistant lines from the susceptible lines.</w:t>
            </w:r>
          </w:p>
          <w:p w14:paraId="406B3A82" w14:textId="2FA90E7E" w:rsidR="009742F4" w:rsidRDefault="009742F4" w:rsidP="009742F4">
            <w:pPr>
              <w:numPr>
                <w:ilvl w:val="0"/>
                <w:numId w:val="9"/>
              </w:numPr>
              <w:spacing w:line="240" w:lineRule="auto"/>
              <w:rPr>
                <w:rFonts w:ascii="Calibri" w:hAnsi="Calibri" w:cs="Calibri"/>
                <w:sz w:val="20"/>
                <w:szCs w:val="20"/>
              </w:rPr>
            </w:pPr>
            <w:r w:rsidRPr="009742F4">
              <w:rPr>
                <w:rFonts w:ascii="Calibri" w:hAnsi="Calibri" w:cs="Calibri"/>
                <w:sz w:val="20"/>
                <w:szCs w:val="20"/>
              </w:rPr>
              <w:t>We selected RILs containing Chr. 13 QTL for NIL development from SRKN populations including Magellan X PI 567516 and Magellan X PI 438489B.</w:t>
            </w:r>
          </w:p>
          <w:p w14:paraId="039DB811" w14:textId="77777777" w:rsidR="009742F4" w:rsidRPr="009742F4" w:rsidRDefault="009742F4" w:rsidP="009742F4">
            <w:pPr>
              <w:spacing w:line="240" w:lineRule="auto"/>
              <w:ind w:left="720"/>
              <w:rPr>
                <w:rFonts w:ascii="Calibri" w:hAnsi="Calibri" w:cs="Calibri"/>
                <w:sz w:val="20"/>
                <w:szCs w:val="20"/>
              </w:rPr>
            </w:pPr>
          </w:p>
          <w:p w14:paraId="206AE801" w14:textId="77777777" w:rsidR="00CA44C9" w:rsidRPr="00B62C84" w:rsidRDefault="00370E27" w:rsidP="00CA44C9">
            <w:pPr>
              <w:pStyle w:val="NoSpacing"/>
              <w:rPr>
                <w:rFonts w:asciiTheme="minorHAnsi" w:hAnsiTheme="minorHAnsi" w:cstheme="minorHAnsi"/>
                <w:b/>
                <w:sz w:val="20"/>
                <w:szCs w:val="20"/>
              </w:rPr>
            </w:pPr>
            <w:r w:rsidRPr="00B62C84">
              <w:rPr>
                <w:rFonts w:asciiTheme="minorHAnsi" w:hAnsiTheme="minorHAnsi" w:cstheme="minorHAnsi"/>
                <w:b/>
                <w:sz w:val="20"/>
                <w:szCs w:val="20"/>
              </w:rPr>
              <w:t>Obj. 3: Development of breeding populations</w:t>
            </w:r>
            <w:r w:rsidR="005A0CBF" w:rsidRPr="00B62C84">
              <w:rPr>
                <w:rFonts w:asciiTheme="minorHAnsi" w:hAnsiTheme="minorHAnsi" w:cstheme="minorHAnsi"/>
                <w:b/>
                <w:sz w:val="20"/>
                <w:szCs w:val="20"/>
              </w:rPr>
              <w:t xml:space="preserve"> </w:t>
            </w:r>
            <w:r w:rsidRPr="00B62C84">
              <w:rPr>
                <w:rFonts w:asciiTheme="minorHAnsi" w:hAnsiTheme="minorHAnsi" w:cstheme="minorHAnsi"/>
                <w:b/>
                <w:sz w:val="20"/>
                <w:szCs w:val="20"/>
              </w:rPr>
              <w:t>and MG4 soybean varieties with resistance to SRKN.</w:t>
            </w:r>
            <w:r w:rsidR="005A0CBF" w:rsidRPr="00B62C84">
              <w:rPr>
                <w:rFonts w:asciiTheme="minorHAnsi" w:hAnsiTheme="minorHAnsi" w:cstheme="minorHAnsi"/>
                <w:b/>
                <w:sz w:val="20"/>
                <w:szCs w:val="20"/>
              </w:rPr>
              <w:t xml:space="preserve">  </w:t>
            </w:r>
          </w:p>
          <w:p w14:paraId="259A2E9C" w14:textId="6CA0E7E0" w:rsidR="00E44E9F" w:rsidRPr="00B62C84" w:rsidRDefault="00E44E9F" w:rsidP="00E44E9F">
            <w:pPr>
              <w:rPr>
                <w:rFonts w:asciiTheme="minorHAnsi" w:hAnsiTheme="minorHAnsi" w:cstheme="minorHAnsi"/>
                <w:sz w:val="20"/>
                <w:szCs w:val="20"/>
              </w:rPr>
            </w:pPr>
          </w:p>
          <w:p w14:paraId="73EC657F" w14:textId="40109DB4" w:rsidR="00E44E9F" w:rsidRDefault="00E44E9F" w:rsidP="00B62C84">
            <w:pPr>
              <w:pStyle w:val="NoSpacing"/>
            </w:pPr>
            <w:r w:rsidRPr="00B62C84">
              <w:t xml:space="preserve">University of Arkansas:  </w:t>
            </w:r>
            <w:r w:rsidR="009742F4">
              <w:t>Caio Vieira</w:t>
            </w:r>
          </w:p>
          <w:p w14:paraId="2732DA42" w14:textId="77777777" w:rsidR="009742F4" w:rsidRPr="009742F4" w:rsidRDefault="009742F4" w:rsidP="009742F4">
            <w:pPr>
              <w:pStyle w:val="NoSpacing"/>
              <w:numPr>
                <w:ilvl w:val="0"/>
                <w:numId w:val="12"/>
              </w:numPr>
            </w:pPr>
            <w:r w:rsidRPr="009742F4">
              <w:t>Two high-yielding advanced lines will be evaluated in our 2023 pre-commercial yield trials. Trials will be replicated in four locations in Arkansas, one each in Missouri and Louisiana. These were screened for SRKN resistance in 2022 in field and greenhouse conditions and have shown higher levels of resistance.</w:t>
            </w:r>
          </w:p>
          <w:tbl>
            <w:tblPr>
              <w:tblW w:w="7976" w:type="dxa"/>
              <w:jc w:val="center"/>
              <w:tblCellMar>
                <w:left w:w="0" w:type="dxa"/>
                <w:right w:w="0" w:type="dxa"/>
              </w:tblCellMar>
              <w:tblLook w:val="0420" w:firstRow="1" w:lastRow="0" w:firstColumn="0" w:lastColumn="0" w:noHBand="0" w:noVBand="1"/>
            </w:tblPr>
            <w:tblGrid>
              <w:gridCol w:w="1083"/>
              <w:gridCol w:w="2170"/>
              <w:gridCol w:w="632"/>
              <w:gridCol w:w="1424"/>
              <w:gridCol w:w="814"/>
              <w:gridCol w:w="1853"/>
            </w:tblGrid>
            <w:tr w:rsidR="009742F4" w:rsidRPr="009742F4" w14:paraId="3582F741" w14:textId="77777777" w:rsidTr="009742F4">
              <w:trPr>
                <w:trHeight w:val="340"/>
                <w:jc w:val="center"/>
              </w:trPr>
              <w:tc>
                <w:tcPr>
                  <w:tcW w:w="1083" w:type="dxa"/>
                  <w:tcBorders>
                    <w:top w:val="double" w:sz="4" w:space="0" w:color="auto"/>
                    <w:bottom w:val="single" w:sz="4" w:space="0" w:color="auto"/>
                  </w:tcBorders>
                  <w:shd w:val="clear" w:color="auto" w:fill="auto"/>
                  <w:tcMar>
                    <w:top w:w="8" w:type="dxa"/>
                    <w:left w:w="8" w:type="dxa"/>
                    <w:bottom w:w="0" w:type="dxa"/>
                    <w:right w:w="8" w:type="dxa"/>
                  </w:tcMar>
                  <w:vAlign w:val="center"/>
                  <w:hideMark/>
                </w:tcPr>
                <w:p w14:paraId="4A47E301"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Name</w:t>
                  </w:r>
                </w:p>
              </w:tc>
              <w:tc>
                <w:tcPr>
                  <w:tcW w:w="2170" w:type="dxa"/>
                  <w:tcBorders>
                    <w:top w:val="double" w:sz="4" w:space="0" w:color="auto"/>
                    <w:bottom w:val="single" w:sz="4" w:space="0" w:color="auto"/>
                  </w:tcBorders>
                  <w:shd w:val="clear" w:color="auto" w:fill="auto"/>
                  <w:tcMar>
                    <w:top w:w="8" w:type="dxa"/>
                    <w:left w:w="8" w:type="dxa"/>
                    <w:bottom w:w="0" w:type="dxa"/>
                    <w:right w:w="8" w:type="dxa"/>
                  </w:tcMar>
                  <w:vAlign w:val="center"/>
                  <w:hideMark/>
                </w:tcPr>
                <w:p w14:paraId="42DC7BEC"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Pedigree</w:t>
                  </w:r>
                </w:p>
              </w:tc>
              <w:tc>
                <w:tcPr>
                  <w:tcW w:w="632" w:type="dxa"/>
                  <w:tcBorders>
                    <w:top w:val="double" w:sz="4" w:space="0" w:color="auto"/>
                    <w:bottom w:val="single" w:sz="4" w:space="0" w:color="auto"/>
                  </w:tcBorders>
                  <w:shd w:val="clear" w:color="auto" w:fill="auto"/>
                  <w:tcMar>
                    <w:top w:w="8" w:type="dxa"/>
                    <w:left w:w="8" w:type="dxa"/>
                    <w:bottom w:w="0" w:type="dxa"/>
                    <w:right w:w="8" w:type="dxa"/>
                  </w:tcMar>
                  <w:vAlign w:val="center"/>
                  <w:hideMark/>
                </w:tcPr>
                <w:p w14:paraId="1F8AEF6B"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Yield</w:t>
                  </w:r>
                  <w:r w:rsidRPr="009742F4">
                    <w:rPr>
                      <w:rFonts w:asciiTheme="minorHAnsi" w:hAnsiTheme="minorHAnsi" w:cstheme="minorHAnsi"/>
                    </w:rPr>
                    <w:br/>
                  </w:r>
                  <w:proofErr w:type="spellStart"/>
                  <w:r w:rsidRPr="009742F4">
                    <w:rPr>
                      <w:rFonts w:asciiTheme="minorHAnsi" w:hAnsiTheme="minorHAnsi" w:cstheme="minorHAnsi"/>
                    </w:rPr>
                    <w:t>bu</w:t>
                  </w:r>
                  <w:proofErr w:type="spellEnd"/>
                  <w:r w:rsidRPr="009742F4">
                    <w:rPr>
                      <w:rFonts w:asciiTheme="minorHAnsi" w:hAnsiTheme="minorHAnsi" w:cstheme="minorHAnsi"/>
                    </w:rPr>
                    <w:t>/ac</w:t>
                  </w:r>
                </w:p>
              </w:tc>
              <w:tc>
                <w:tcPr>
                  <w:tcW w:w="1424" w:type="dxa"/>
                  <w:tcBorders>
                    <w:top w:val="double" w:sz="4" w:space="0" w:color="auto"/>
                    <w:bottom w:val="single" w:sz="4" w:space="0" w:color="auto"/>
                  </w:tcBorders>
                  <w:shd w:val="clear" w:color="auto" w:fill="auto"/>
                  <w:tcMar>
                    <w:top w:w="8" w:type="dxa"/>
                    <w:left w:w="8" w:type="dxa"/>
                    <w:bottom w:w="0" w:type="dxa"/>
                    <w:right w:w="8" w:type="dxa"/>
                  </w:tcMar>
                  <w:vAlign w:val="center"/>
                  <w:hideMark/>
                </w:tcPr>
                <w:p w14:paraId="300F97D1"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Relative Yield</w:t>
                  </w:r>
                  <w:r w:rsidRPr="009742F4">
                    <w:rPr>
                      <w:rFonts w:asciiTheme="minorHAnsi" w:hAnsiTheme="minorHAnsi" w:cstheme="minorHAnsi"/>
                    </w:rPr>
                    <w:br/>
                    <w:t>% Check</w:t>
                  </w:r>
                </w:p>
              </w:tc>
              <w:tc>
                <w:tcPr>
                  <w:tcW w:w="814" w:type="dxa"/>
                  <w:tcBorders>
                    <w:top w:val="double" w:sz="4" w:space="0" w:color="auto"/>
                    <w:bottom w:val="single" w:sz="4" w:space="0" w:color="auto"/>
                  </w:tcBorders>
                  <w:shd w:val="clear" w:color="auto" w:fill="auto"/>
                  <w:tcMar>
                    <w:top w:w="8" w:type="dxa"/>
                    <w:left w:w="8" w:type="dxa"/>
                    <w:bottom w:w="0" w:type="dxa"/>
                    <w:right w:w="8" w:type="dxa"/>
                  </w:tcMar>
                  <w:vAlign w:val="center"/>
                  <w:hideMark/>
                </w:tcPr>
                <w:p w14:paraId="613FEC63"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Galling</w:t>
                  </w:r>
                  <w:r w:rsidRPr="009742F4">
                    <w:rPr>
                      <w:rFonts w:asciiTheme="minorHAnsi" w:hAnsiTheme="minorHAnsi" w:cstheme="minorHAnsi"/>
                    </w:rPr>
                    <w:br/>
                    <w:t>(0-5)</w:t>
                  </w:r>
                </w:p>
              </w:tc>
              <w:tc>
                <w:tcPr>
                  <w:tcW w:w="1853" w:type="dxa"/>
                  <w:tcBorders>
                    <w:top w:val="double" w:sz="4" w:space="0" w:color="auto"/>
                    <w:bottom w:val="single" w:sz="4" w:space="0" w:color="auto"/>
                  </w:tcBorders>
                  <w:shd w:val="clear" w:color="auto" w:fill="auto"/>
                  <w:tcMar>
                    <w:top w:w="8" w:type="dxa"/>
                    <w:left w:w="8" w:type="dxa"/>
                    <w:bottom w:w="0" w:type="dxa"/>
                    <w:right w:w="8" w:type="dxa"/>
                  </w:tcMar>
                  <w:vAlign w:val="center"/>
                  <w:hideMark/>
                </w:tcPr>
                <w:p w14:paraId="6C5C8C65"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Root Galling Score</w:t>
                  </w:r>
                  <w:r w:rsidRPr="009742F4">
                    <w:rPr>
                      <w:rFonts w:asciiTheme="minorHAnsi" w:hAnsiTheme="minorHAnsi" w:cstheme="minorHAnsi"/>
                    </w:rPr>
                    <w:br/>
                    <w:t>(%)</w:t>
                  </w:r>
                </w:p>
              </w:tc>
            </w:tr>
            <w:tr w:rsidR="009742F4" w:rsidRPr="009742F4" w14:paraId="5CAD9B30" w14:textId="77777777" w:rsidTr="009742F4">
              <w:trPr>
                <w:trHeight w:val="281"/>
                <w:jc w:val="center"/>
              </w:trPr>
              <w:tc>
                <w:tcPr>
                  <w:tcW w:w="1083" w:type="dxa"/>
                  <w:tcBorders>
                    <w:top w:val="single" w:sz="4" w:space="0" w:color="auto"/>
                  </w:tcBorders>
                  <w:shd w:val="clear" w:color="auto" w:fill="auto"/>
                  <w:tcMar>
                    <w:top w:w="8" w:type="dxa"/>
                    <w:left w:w="8" w:type="dxa"/>
                    <w:bottom w:w="0" w:type="dxa"/>
                    <w:right w:w="8" w:type="dxa"/>
                  </w:tcMar>
                  <w:vAlign w:val="center"/>
                  <w:hideMark/>
                </w:tcPr>
                <w:p w14:paraId="7C543620"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R18-10919</w:t>
                  </w:r>
                </w:p>
              </w:tc>
              <w:tc>
                <w:tcPr>
                  <w:tcW w:w="2170" w:type="dxa"/>
                  <w:tcBorders>
                    <w:top w:val="single" w:sz="4" w:space="0" w:color="auto"/>
                  </w:tcBorders>
                  <w:shd w:val="clear" w:color="auto" w:fill="auto"/>
                  <w:tcMar>
                    <w:top w:w="8" w:type="dxa"/>
                    <w:left w:w="8" w:type="dxa"/>
                    <w:bottom w:w="0" w:type="dxa"/>
                    <w:right w:w="8" w:type="dxa"/>
                  </w:tcMar>
                  <w:vAlign w:val="center"/>
                  <w:hideMark/>
                </w:tcPr>
                <w:p w14:paraId="45AD6EB3"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R11-2282/R12-3684</w:t>
                  </w:r>
                </w:p>
              </w:tc>
              <w:tc>
                <w:tcPr>
                  <w:tcW w:w="632" w:type="dxa"/>
                  <w:tcBorders>
                    <w:top w:val="single" w:sz="4" w:space="0" w:color="auto"/>
                  </w:tcBorders>
                  <w:shd w:val="clear" w:color="auto" w:fill="auto"/>
                  <w:tcMar>
                    <w:top w:w="15" w:type="dxa"/>
                    <w:left w:w="15" w:type="dxa"/>
                    <w:bottom w:w="0" w:type="dxa"/>
                    <w:right w:w="15" w:type="dxa"/>
                  </w:tcMar>
                  <w:vAlign w:val="center"/>
                  <w:hideMark/>
                </w:tcPr>
                <w:p w14:paraId="297C9348"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64</w:t>
                  </w:r>
                </w:p>
              </w:tc>
              <w:tc>
                <w:tcPr>
                  <w:tcW w:w="1424" w:type="dxa"/>
                  <w:tcBorders>
                    <w:top w:val="single" w:sz="4" w:space="0" w:color="auto"/>
                  </w:tcBorders>
                  <w:shd w:val="clear" w:color="auto" w:fill="auto"/>
                  <w:tcMar>
                    <w:top w:w="15" w:type="dxa"/>
                    <w:left w:w="15" w:type="dxa"/>
                    <w:bottom w:w="0" w:type="dxa"/>
                    <w:right w:w="15" w:type="dxa"/>
                  </w:tcMar>
                  <w:vAlign w:val="center"/>
                  <w:hideMark/>
                </w:tcPr>
                <w:p w14:paraId="2B2B0B39"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85</w:t>
                  </w:r>
                </w:p>
              </w:tc>
              <w:tc>
                <w:tcPr>
                  <w:tcW w:w="814" w:type="dxa"/>
                  <w:tcBorders>
                    <w:top w:val="single" w:sz="4" w:space="0" w:color="auto"/>
                  </w:tcBorders>
                  <w:shd w:val="clear" w:color="auto" w:fill="auto"/>
                  <w:tcMar>
                    <w:top w:w="15" w:type="dxa"/>
                    <w:left w:w="15" w:type="dxa"/>
                    <w:bottom w:w="0" w:type="dxa"/>
                    <w:right w:w="15" w:type="dxa"/>
                  </w:tcMar>
                  <w:vAlign w:val="center"/>
                  <w:hideMark/>
                </w:tcPr>
                <w:p w14:paraId="2D5A49EC"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1.2</w:t>
                  </w:r>
                </w:p>
              </w:tc>
              <w:tc>
                <w:tcPr>
                  <w:tcW w:w="1853" w:type="dxa"/>
                  <w:tcBorders>
                    <w:top w:val="single" w:sz="4" w:space="0" w:color="auto"/>
                  </w:tcBorders>
                  <w:shd w:val="clear" w:color="auto" w:fill="auto"/>
                  <w:tcMar>
                    <w:top w:w="15" w:type="dxa"/>
                    <w:left w:w="15" w:type="dxa"/>
                    <w:bottom w:w="0" w:type="dxa"/>
                    <w:right w:w="15" w:type="dxa"/>
                  </w:tcMar>
                  <w:vAlign w:val="center"/>
                  <w:hideMark/>
                </w:tcPr>
                <w:p w14:paraId="7BD2AFC2"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3.8</w:t>
                  </w:r>
                </w:p>
              </w:tc>
            </w:tr>
            <w:tr w:rsidR="009742F4" w:rsidRPr="009742F4" w14:paraId="6C42A208" w14:textId="77777777" w:rsidTr="008025B5">
              <w:trPr>
                <w:trHeight w:val="183"/>
                <w:jc w:val="center"/>
              </w:trPr>
              <w:tc>
                <w:tcPr>
                  <w:tcW w:w="1083" w:type="dxa"/>
                  <w:tcBorders>
                    <w:bottom w:val="double" w:sz="4" w:space="0" w:color="auto"/>
                  </w:tcBorders>
                  <w:shd w:val="clear" w:color="auto" w:fill="auto"/>
                  <w:tcMar>
                    <w:top w:w="8" w:type="dxa"/>
                    <w:left w:w="8" w:type="dxa"/>
                    <w:bottom w:w="0" w:type="dxa"/>
                    <w:right w:w="8" w:type="dxa"/>
                  </w:tcMar>
                  <w:vAlign w:val="center"/>
                  <w:hideMark/>
                </w:tcPr>
                <w:p w14:paraId="0B276811"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R19C-1081</w:t>
                  </w:r>
                </w:p>
              </w:tc>
              <w:tc>
                <w:tcPr>
                  <w:tcW w:w="2170" w:type="dxa"/>
                  <w:tcBorders>
                    <w:bottom w:val="double" w:sz="4" w:space="0" w:color="auto"/>
                  </w:tcBorders>
                  <w:shd w:val="clear" w:color="auto" w:fill="auto"/>
                  <w:tcMar>
                    <w:top w:w="8" w:type="dxa"/>
                    <w:left w:w="8" w:type="dxa"/>
                    <w:bottom w:w="0" w:type="dxa"/>
                    <w:right w:w="8" w:type="dxa"/>
                  </w:tcMar>
                  <w:vAlign w:val="center"/>
                  <w:hideMark/>
                </w:tcPr>
                <w:p w14:paraId="01D00FAC"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S09-13635/R11-328:82</w:t>
                  </w:r>
                </w:p>
              </w:tc>
              <w:tc>
                <w:tcPr>
                  <w:tcW w:w="632" w:type="dxa"/>
                  <w:tcBorders>
                    <w:bottom w:val="double" w:sz="4" w:space="0" w:color="auto"/>
                  </w:tcBorders>
                  <w:shd w:val="clear" w:color="auto" w:fill="auto"/>
                  <w:tcMar>
                    <w:top w:w="15" w:type="dxa"/>
                    <w:left w:w="15" w:type="dxa"/>
                    <w:bottom w:w="0" w:type="dxa"/>
                    <w:right w:w="15" w:type="dxa"/>
                  </w:tcMar>
                  <w:vAlign w:val="center"/>
                  <w:hideMark/>
                </w:tcPr>
                <w:p w14:paraId="25F5F581"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63</w:t>
                  </w:r>
                </w:p>
              </w:tc>
              <w:tc>
                <w:tcPr>
                  <w:tcW w:w="1424" w:type="dxa"/>
                  <w:tcBorders>
                    <w:bottom w:val="double" w:sz="4" w:space="0" w:color="auto"/>
                  </w:tcBorders>
                  <w:shd w:val="clear" w:color="auto" w:fill="auto"/>
                  <w:tcMar>
                    <w:top w:w="15" w:type="dxa"/>
                    <w:left w:w="15" w:type="dxa"/>
                    <w:bottom w:w="0" w:type="dxa"/>
                    <w:right w:w="15" w:type="dxa"/>
                  </w:tcMar>
                  <w:vAlign w:val="center"/>
                  <w:hideMark/>
                </w:tcPr>
                <w:p w14:paraId="67D81C4C"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98</w:t>
                  </w:r>
                </w:p>
              </w:tc>
              <w:tc>
                <w:tcPr>
                  <w:tcW w:w="814" w:type="dxa"/>
                  <w:tcBorders>
                    <w:bottom w:val="double" w:sz="4" w:space="0" w:color="auto"/>
                  </w:tcBorders>
                  <w:shd w:val="clear" w:color="auto" w:fill="auto"/>
                  <w:tcMar>
                    <w:top w:w="15" w:type="dxa"/>
                    <w:left w:w="15" w:type="dxa"/>
                    <w:bottom w:w="0" w:type="dxa"/>
                    <w:right w:w="15" w:type="dxa"/>
                  </w:tcMar>
                  <w:vAlign w:val="center"/>
                  <w:hideMark/>
                </w:tcPr>
                <w:p w14:paraId="68C2768F"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1</w:t>
                  </w:r>
                </w:p>
              </w:tc>
              <w:tc>
                <w:tcPr>
                  <w:tcW w:w="1853" w:type="dxa"/>
                  <w:tcBorders>
                    <w:bottom w:val="double" w:sz="4" w:space="0" w:color="auto"/>
                  </w:tcBorders>
                  <w:shd w:val="clear" w:color="auto" w:fill="auto"/>
                  <w:tcMar>
                    <w:top w:w="15" w:type="dxa"/>
                    <w:left w:w="15" w:type="dxa"/>
                    <w:bottom w:w="0" w:type="dxa"/>
                    <w:right w:w="15" w:type="dxa"/>
                  </w:tcMar>
                  <w:vAlign w:val="center"/>
                  <w:hideMark/>
                </w:tcPr>
                <w:p w14:paraId="074B3BD2" w14:textId="77777777" w:rsidR="009742F4" w:rsidRPr="009742F4" w:rsidRDefault="009742F4" w:rsidP="009742F4">
                  <w:pPr>
                    <w:pStyle w:val="NoSpacing"/>
                    <w:rPr>
                      <w:rFonts w:asciiTheme="minorHAnsi" w:hAnsiTheme="minorHAnsi" w:cstheme="minorHAnsi"/>
                    </w:rPr>
                  </w:pPr>
                  <w:r w:rsidRPr="009742F4">
                    <w:rPr>
                      <w:rFonts w:asciiTheme="minorHAnsi" w:hAnsiTheme="minorHAnsi" w:cstheme="minorHAnsi"/>
                    </w:rPr>
                    <w:t>11.4</w:t>
                  </w:r>
                </w:p>
              </w:tc>
            </w:tr>
          </w:tbl>
          <w:p w14:paraId="534EF654" w14:textId="77777777" w:rsidR="009742F4" w:rsidRPr="009742F4" w:rsidRDefault="009742F4" w:rsidP="009742F4">
            <w:pPr>
              <w:rPr>
                <w:rFonts w:asciiTheme="minorHAnsi" w:hAnsiTheme="minorHAnsi" w:cstheme="minorHAnsi"/>
                <w:sz w:val="20"/>
                <w:szCs w:val="20"/>
              </w:rPr>
            </w:pPr>
          </w:p>
          <w:p w14:paraId="174CE43D" w14:textId="77777777" w:rsidR="009742F4" w:rsidRPr="009742F4" w:rsidRDefault="009742F4" w:rsidP="009742F4">
            <w:pPr>
              <w:pStyle w:val="NoSpacing"/>
              <w:numPr>
                <w:ilvl w:val="0"/>
                <w:numId w:val="12"/>
              </w:numPr>
            </w:pPr>
            <w:r w:rsidRPr="009742F4">
              <w:t>Ten new cross combinations between SRKN-tolerant and high-yielding parental lines were completed in 2022. Eight combinations (80 F</w:t>
            </w:r>
            <w:r w:rsidRPr="009742F4">
              <w:rPr>
                <w:vertAlign w:val="subscript"/>
              </w:rPr>
              <w:t>1</w:t>
            </w:r>
            <w:r w:rsidRPr="009742F4">
              <w:t xml:space="preserve"> seeds) were sent to an off-season nursery for generation advancement. Molecular marker evaluation is underway to identify true hybrids. Selected materials will be advanced until F</w:t>
            </w:r>
            <w:r w:rsidRPr="009742F4">
              <w:rPr>
                <w:vertAlign w:val="subscript"/>
              </w:rPr>
              <w:t xml:space="preserve">4 </w:t>
            </w:r>
            <w:r w:rsidRPr="009742F4">
              <w:t>in the off-season nursery.</w:t>
            </w:r>
          </w:p>
          <w:p w14:paraId="7BDCA4F7" w14:textId="77777777" w:rsidR="009742F4" w:rsidRPr="009742F4" w:rsidRDefault="009742F4" w:rsidP="009742F4">
            <w:pPr>
              <w:pStyle w:val="NoSpacing"/>
            </w:pPr>
          </w:p>
          <w:p w14:paraId="5AB18965" w14:textId="77777777" w:rsidR="009742F4" w:rsidRPr="009742F4" w:rsidRDefault="009742F4" w:rsidP="009742F4">
            <w:pPr>
              <w:pStyle w:val="NoSpacing"/>
              <w:numPr>
                <w:ilvl w:val="0"/>
                <w:numId w:val="12"/>
              </w:numPr>
            </w:pPr>
            <w:r w:rsidRPr="009742F4">
              <w:t>Twenty EG1</w:t>
            </w:r>
            <w:r w:rsidRPr="009742F4">
              <w:rPr>
                <w:vertAlign w:val="subscript"/>
              </w:rPr>
              <w:t xml:space="preserve"> </w:t>
            </w:r>
            <w:r w:rsidRPr="009742F4">
              <w:t>populations were advanced in Puerto Rico in the 2021-2022 off-season. During the summer of 2022, EG2</w:t>
            </w:r>
            <w:r w:rsidRPr="009742F4">
              <w:rPr>
                <w:vertAlign w:val="subscript"/>
              </w:rPr>
              <w:t xml:space="preserve"> </w:t>
            </w:r>
            <w:r w:rsidRPr="009742F4">
              <w:t>populations were planted in 61 rows in Fayetteville, AR. Nineteen populations were selected for generation advancement. In total, 2,989 individual plants were tagged and harvested individually. Tissue sampling was taken during the growing season, and molecular analysis to confirm genetic resistance is currently underway.</w:t>
            </w:r>
          </w:p>
          <w:p w14:paraId="67F0D6A8" w14:textId="77777777" w:rsidR="009742F4" w:rsidRPr="009742F4" w:rsidRDefault="009742F4" w:rsidP="009742F4">
            <w:pPr>
              <w:pStyle w:val="NoSpacing"/>
            </w:pPr>
          </w:p>
          <w:p w14:paraId="1D67EB9C" w14:textId="77777777" w:rsidR="009742F4" w:rsidRPr="009742F4" w:rsidRDefault="009742F4" w:rsidP="009742F4">
            <w:pPr>
              <w:pStyle w:val="NoSpacing"/>
              <w:numPr>
                <w:ilvl w:val="0"/>
                <w:numId w:val="12"/>
              </w:numPr>
            </w:pPr>
            <w:r w:rsidRPr="009742F4">
              <w:t>Four EG3 populations were planted in Fayetteville, AR, during the 2022 summer. Individual plants were visually selected based on pod load, uniformity, and desired agronomic traits and harvested using the modified pod pick method for EG3:EG4 generation advancement in 2023.</w:t>
            </w:r>
          </w:p>
          <w:p w14:paraId="36C68DD3" w14:textId="77777777" w:rsidR="009742F4" w:rsidRPr="009742F4" w:rsidRDefault="009742F4" w:rsidP="009742F4">
            <w:pPr>
              <w:pStyle w:val="NoSpacing"/>
            </w:pPr>
          </w:p>
          <w:p w14:paraId="7A3B9C6F" w14:textId="77777777" w:rsidR="009742F4" w:rsidRPr="009742F4" w:rsidRDefault="009742F4" w:rsidP="009742F4">
            <w:pPr>
              <w:pStyle w:val="NoSpacing"/>
              <w:numPr>
                <w:ilvl w:val="0"/>
                <w:numId w:val="12"/>
              </w:numPr>
            </w:pPr>
            <w:r w:rsidRPr="009742F4">
              <w:t>Southern root-knot nematode marker screening is currently ongoing in 43 of our pre-commercial materials (PCMs). Results are pending.</w:t>
            </w:r>
          </w:p>
          <w:p w14:paraId="007BC4A0" w14:textId="77777777" w:rsidR="009742F4" w:rsidRPr="00B62C84" w:rsidRDefault="009742F4" w:rsidP="009742F4">
            <w:pPr>
              <w:pStyle w:val="NoSpacing"/>
            </w:pPr>
          </w:p>
          <w:p w14:paraId="1C01567F" w14:textId="69007815" w:rsidR="00E44E9F" w:rsidRPr="00B62C84" w:rsidRDefault="00B62C84" w:rsidP="00E44E9F">
            <w:pPr>
              <w:pStyle w:val="NoSpacing"/>
              <w:rPr>
                <w:rFonts w:asciiTheme="minorHAnsi" w:hAnsiTheme="minorHAnsi" w:cstheme="minorHAnsi"/>
                <w:sz w:val="20"/>
                <w:szCs w:val="20"/>
              </w:rPr>
            </w:pPr>
            <w:r w:rsidRPr="00B62C84">
              <w:rPr>
                <w:rFonts w:asciiTheme="minorHAnsi" w:hAnsiTheme="minorHAnsi" w:cstheme="minorHAnsi"/>
                <w:sz w:val="20"/>
                <w:szCs w:val="20"/>
              </w:rPr>
              <w:t xml:space="preserve">Grover </w:t>
            </w:r>
            <w:r w:rsidR="00E44E9F" w:rsidRPr="00B62C84">
              <w:rPr>
                <w:rFonts w:asciiTheme="minorHAnsi" w:hAnsiTheme="minorHAnsi" w:cstheme="minorHAnsi"/>
                <w:sz w:val="20"/>
                <w:szCs w:val="20"/>
              </w:rPr>
              <w:t>Shannon, University of Missouri</w:t>
            </w:r>
          </w:p>
          <w:p w14:paraId="27A0CFFD" w14:textId="3FA8940B" w:rsidR="00E44E9F" w:rsidRPr="00B62C84" w:rsidRDefault="00E44E9F" w:rsidP="00B62C84">
            <w:pPr>
              <w:pStyle w:val="NoSpacing"/>
              <w:numPr>
                <w:ilvl w:val="0"/>
                <w:numId w:val="8"/>
              </w:numPr>
              <w:rPr>
                <w:rFonts w:asciiTheme="minorHAnsi" w:hAnsiTheme="minorHAnsi" w:cstheme="minorHAnsi"/>
                <w:sz w:val="20"/>
                <w:szCs w:val="20"/>
              </w:rPr>
            </w:pPr>
            <w:r w:rsidRPr="00B62C84">
              <w:rPr>
                <w:rFonts w:asciiTheme="minorHAnsi" w:hAnsiTheme="minorHAnsi" w:cstheme="minorHAnsi"/>
                <w:b/>
                <w:sz w:val="20"/>
                <w:szCs w:val="20"/>
                <w:u w:val="single"/>
              </w:rPr>
              <w:t xml:space="preserve">Promising lines in regional tests:  </w:t>
            </w:r>
            <w:r w:rsidRPr="00B62C84">
              <w:rPr>
                <w:rFonts w:asciiTheme="minorHAnsi" w:hAnsiTheme="minorHAnsi" w:cstheme="minorHAnsi"/>
                <w:sz w:val="20"/>
                <w:szCs w:val="20"/>
              </w:rPr>
              <w:t>We evaluated 19 high-yielding breeding lines in the 2022 USDA Southern Trials with resistance to southern root-knot nematode (SRKN). The local yield data has been analyzed but data from the 2022 USDA Southern Trials data will not be available until late January. Based on the satisfactory yield in regional trials in 2022, selected lines may be proposed for release in 2023.</w:t>
            </w:r>
          </w:p>
          <w:p w14:paraId="4AADD76D" w14:textId="03E6C301" w:rsidR="00E44E9F" w:rsidRPr="00B62C84" w:rsidRDefault="00E44E9F" w:rsidP="00B62C84">
            <w:pPr>
              <w:pStyle w:val="NoSpacing"/>
              <w:numPr>
                <w:ilvl w:val="0"/>
                <w:numId w:val="8"/>
              </w:numPr>
              <w:rPr>
                <w:rFonts w:asciiTheme="minorHAnsi" w:hAnsiTheme="minorHAnsi" w:cstheme="minorHAnsi"/>
                <w:sz w:val="20"/>
                <w:szCs w:val="20"/>
              </w:rPr>
            </w:pPr>
            <w:r w:rsidRPr="00B62C84">
              <w:rPr>
                <w:rFonts w:asciiTheme="minorHAnsi" w:hAnsiTheme="minorHAnsi" w:cstheme="minorHAnsi"/>
                <w:b/>
                <w:sz w:val="20"/>
                <w:szCs w:val="20"/>
                <w:u w:val="single"/>
              </w:rPr>
              <w:t>Advanced yield trials:</w:t>
            </w:r>
            <w:bookmarkStart w:id="1" w:name="_Int_rKsQdInL"/>
            <w:r w:rsidRPr="00B62C84">
              <w:rPr>
                <w:rFonts w:asciiTheme="minorHAnsi" w:hAnsiTheme="minorHAnsi" w:cstheme="minorHAnsi"/>
                <w:b/>
                <w:sz w:val="20"/>
                <w:szCs w:val="20"/>
                <w:u w:val="single"/>
              </w:rPr>
              <w:t xml:space="preserve">  </w:t>
            </w:r>
            <w:r w:rsidRPr="00B62C84">
              <w:rPr>
                <w:rFonts w:asciiTheme="minorHAnsi" w:hAnsiTheme="minorHAnsi" w:cstheme="minorHAnsi"/>
                <w:sz w:val="20"/>
                <w:szCs w:val="20"/>
              </w:rPr>
              <w:t>260 advanced breeding lines of which many are derived from SRKN-resistant parents were tested in our 2022 advanced yield trials (AYT).</w:t>
            </w:r>
            <w:bookmarkEnd w:id="1"/>
            <w:r w:rsidRPr="00B62C84">
              <w:rPr>
                <w:rFonts w:asciiTheme="minorHAnsi" w:hAnsiTheme="minorHAnsi" w:cstheme="minorHAnsi"/>
                <w:sz w:val="20"/>
                <w:szCs w:val="20"/>
              </w:rPr>
              <w:t xml:space="preserve"> These were grown at Portageville, MO (3 environments) and dicamba injury from adjacent farmer fields severely suppressed yields. Our breeding lines lack tolerance to the herbicide. We also tested these lines across locations in AR, IL, LA, </w:t>
            </w:r>
            <w:bookmarkStart w:id="2" w:name="_Int_zVQGfOx9"/>
            <w:r w:rsidRPr="00B62C84">
              <w:rPr>
                <w:rFonts w:asciiTheme="minorHAnsi" w:hAnsiTheme="minorHAnsi" w:cstheme="minorHAnsi"/>
                <w:sz w:val="20"/>
                <w:szCs w:val="20"/>
              </w:rPr>
              <w:t>MS</w:t>
            </w:r>
            <w:bookmarkEnd w:id="2"/>
            <w:r w:rsidRPr="00B62C84">
              <w:rPr>
                <w:rFonts w:asciiTheme="minorHAnsi" w:hAnsiTheme="minorHAnsi" w:cstheme="minorHAnsi"/>
                <w:sz w:val="20"/>
                <w:szCs w:val="20"/>
              </w:rPr>
              <w:t xml:space="preserve">, MO, </w:t>
            </w:r>
            <w:bookmarkStart w:id="3" w:name="_Int_lczKwfmB"/>
            <w:r w:rsidRPr="00B62C84">
              <w:rPr>
                <w:rFonts w:asciiTheme="minorHAnsi" w:hAnsiTheme="minorHAnsi" w:cstheme="minorHAnsi"/>
                <w:sz w:val="20"/>
                <w:szCs w:val="20"/>
              </w:rPr>
              <w:t>TN</w:t>
            </w:r>
            <w:bookmarkEnd w:id="3"/>
            <w:r w:rsidRPr="00B62C84">
              <w:rPr>
                <w:rFonts w:asciiTheme="minorHAnsi" w:hAnsiTheme="minorHAnsi" w:cstheme="minorHAnsi"/>
                <w:sz w:val="20"/>
                <w:szCs w:val="20"/>
              </w:rPr>
              <w:t xml:space="preserve">, and VA (6-8 environments) where damage from Dicamba was minimal. The breeding lines were phenotypically screened for SRKN and genotypically characterized using molecular markers tightly linked to genes conferring resistance to SRKN. Based on the genotypic and phenotypic data (SRKN- resistant) as well as satisfactory multi-environment yield performance, the best performing lines will be put in regional Uniform tests in 2023. </w:t>
            </w:r>
          </w:p>
          <w:p w14:paraId="2D43985A" w14:textId="1B98178F" w:rsidR="00E44E9F" w:rsidRPr="00B62C84" w:rsidRDefault="00E44E9F" w:rsidP="00B62C84">
            <w:pPr>
              <w:pStyle w:val="NoSpacing"/>
              <w:numPr>
                <w:ilvl w:val="0"/>
                <w:numId w:val="8"/>
              </w:numPr>
              <w:rPr>
                <w:rFonts w:asciiTheme="minorHAnsi" w:hAnsiTheme="minorHAnsi" w:cstheme="minorHAnsi"/>
                <w:sz w:val="20"/>
                <w:szCs w:val="20"/>
              </w:rPr>
            </w:pPr>
            <w:r w:rsidRPr="00B62C84">
              <w:rPr>
                <w:rFonts w:asciiTheme="minorHAnsi" w:hAnsiTheme="minorHAnsi" w:cstheme="minorHAnsi"/>
                <w:b/>
                <w:sz w:val="20"/>
                <w:szCs w:val="20"/>
                <w:u w:val="single"/>
              </w:rPr>
              <w:t>Preliminary yield trials: I</w:t>
            </w:r>
            <w:r w:rsidRPr="00B62C84">
              <w:rPr>
                <w:rFonts w:asciiTheme="minorHAnsi" w:hAnsiTheme="minorHAnsi" w:cstheme="minorHAnsi"/>
                <w:sz w:val="20"/>
                <w:szCs w:val="20"/>
              </w:rPr>
              <w:t>n 2022 preliminary yield trials (PYT), we tested 1,070 breeding lines in Portageville, MO (3 environments), but plots yields were reduced from off-target Dicamba. The lines were tested in two additional environments in AR and MO where damage from Dicamba was minimal. Many of the lines are derived from SRKN-resistant pedigrees. Based on the visual phenotypic selection and satisfactory multi-environment yield performance, approximately 150 soybean breeding lines will be advanced to the 2023 AYT and will be phenotypically and genotypically screened for SRKN.</w:t>
            </w:r>
          </w:p>
          <w:p w14:paraId="33C9E613" w14:textId="5729EC48" w:rsidR="00E44E9F" w:rsidRPr="00B62C84" w:rsidRDefault="00E44E9F" w:rsidP="00B62C84">
            <w:pPr>
              <w:pStyle w:val="NoSpacing"/>
              <w:numPr>
                <w:ilvl w:val="0"/>
                <w:numId w:val="8"/>
              </w:numPr>
              <w:rPr>
                <w:rFonts w:asciiTheme="minorHAnsi" w:hAnsiTheme="minorHAnsi" w:cstheme="minorHAnsi"/>
                <w:sz w:val="20"/>
                <w:szCs w:val="20"/>
              </w:rPr>
            </w:pPr>
            <w:r w:rsidRPr="00B62C84">
              <w:rPr>
                <w:rFonts w:asciiTheme="minorHAnsi" w:hAnsiTheme="minorHAnsi" w:cstheme="minorHAnsi"/>
                <w:b/>
                <w:sz w:val="20"/>
                <w:szCs w:val="20"/>
                <w:u w:val="single"/>
              </w:rPr>
              <w:t>Breeding populations advancements</w:t>
            </w:r>
            <w:r w:rsidR="00B62C84" w:rsidRPr="00B62C84">
              <w:rPr>
                <w:rFonts w:asciiTheme="minorHAnsi" w:hAnsiTheme="minorHAnsi" w:cstheme="minorHAnsi"/>
                <w:b/>
                <w:sz w:val="20"/>
                <w:szCs w:val="20"/>
                <w:u w:val="single"/>
              </w:rPr>
              <w:t xml:space="preserve">:  </w:t>
            </w:r>
            <w:r w:rsidRPr="00B62C84">
              <w:rPr>
                <w:rFonts w:asciiTheme="minorHAnsi" w:hAnsiTheme="minorHAnsi" w:cstheme="minorHAnsi"/>
                <w:sz w:val="20"/>
                <w:szCs w:val="20"/>
              </w:rPr>
              <w:t>246 bi-parental populations (~24,600 F</w:t>
            </w:r>
            <w:r w:rsidRPr="00B62C84">
              <w:rPr>
                <w:rFonts w:asciiTheme="minorHAnsi" w:hAnsiTheme="minorHAnsi" w:cstheme="minorHAnsi"/>
                <w:sz w:val="20"/>
                <w:szCs w:val="20"/>
                <w:vertAlign w:val="subscript"/>
              </w:rPr>
              <w:t>4:5</w:t>
            </w:r>
            <w:r w:rsidRPr="00B62C84">
              <w:rPr>
                <w:rFonts w:asciiTheme="minorHAnsi" w:hAnsiTheme="minorHAnsi" w:cstheme="minorHAnsi"/>
                <w:sz w:val="20"/>
                <w:szCs w:val="20"/>
              </w:rPr>
              <w:t xml:space="preserve"> lines) were grown in progeny rows during 2022. Most of these populations are derived from SRKN-resistant pedigrees. A total of 1,125 soybean late III to late IV breeding lines were visually selected based on yield potential and desired agronomic traits at maturity. They will be advanced to 2023 preliminary yield tests (PYT).</w:t>
            </w:r>
          </w:p>
          <w:p w14:paraId="156338CB" w14:textId="0F2A0C2F" w:rsidR="00E44E9F" w:rsidRPr="00B62C84" w:rsidRDefault="00E44E9F" w:rsidP="00B62C84">
            <w:pPr>
              <w:pStyle w:val="NoSpacing"/>
              <w:numPr>
                <w:ilvl w:val="0"/>
                <w:numId w:val="8"/>
              </w:numPr>
              <w:rPr>
                <w:rFonts w:asciiTheme="minorHAnsi" w:hAnsiTheme="minorHAnsi" w:cstheme="minorHAnsi"/>
                <w:sz w:val="20"/>
                <w:szCs w:val="20"/>
              </w:rPr>
            </w:pPr>
            <w:r w:rsidRPr="00B62C84">
              <w:rPr>
                <w:rFonts w:asciiTheme="minorHAnsi" w:hAnsiTheme="minorHAnsi" w:cstheme="minorHAnsi"/>
                <w:b/>
                <w:sz w:val="20"/>
                <w:szCs w:val="20"/>
                <w:u w:val="single"/>
              </w:rPr>
              <w:t>New Crosses in 2022 season</w:t>
            </w:r>
            <w:r w:rsidR="00B62C84" w:rsidRPr="00B62C84">
              <w:rPr>
                <w:rFonts w:asciiTheme="minorHAnsi" w:hAnsiTheme="minorHAnsi" w:cstheme="minorHAnsi"/>
                <w:b/>
                <w:sz w:val="20"/>
                <w:szCs w:val="20"/>
                <w:u w:val="single"/>
              </w:rPr>
              <w:t xml:space="preserve">: </w:t>
            </w:r>
            <w:r w:rsidRPr="00B62C84">
              <w:rPr>
                <w:rFonts w:asciiTheme="minorHAnsi" w:hAnsiTheme="minorHAnsi" w:cstheme="minorHAnsi"/>
                <w:sz w:val="20"/>
                <w:szCs w:val="20"/>
              </w:rPr>
              <w:t>We had 49 high-yielding SRKN-resistant parents in our crossing block. We developed 76 new breeding populations. F</w:t>
            </w:r>
            <w:r w:rsidRPr="00B62C84">
              <w:rPr>
                <w:rFonts w:asciiTheme="minorHAnsi" w:hAnsiTheme="minorHAnsi" w:cstheme="minorHAnsi"/>
                <w:sz w:val="20"/>
                <w:szCs w:val="20"/>
                <w:vertAlign w:val="subscript"/>
              </w:rPr>
              <w:t>1</w:t>
            </w:r>
            <w:r w:rsidRPr="00B62C84">
              <w:rPr>
                <w:rFonts w:asciiTheme="minorHAnsi" w:hAnsiTheme="minorHAnsi" w:cstheme="minorHAnsi"/>
                <w:sz w:val="20"/>
                <w:szCs w:val="20"/>
              </w:rPr>
              <w:t xml:space="preserve"> seeds were sent in off-season nurseries in Puerto Rico and Costa Rica and will return as F</w:t>
            </w:r>
            <w:r w:rsidRPr="00B62C84">
              <w:rPr>
                <w:rFonts w:asciiTheme="minorHAnsi" w:hAnsiTheme="minorHAnsi" w:cstheme="minorHAnsi"/>
                <w:sz w:val="20"/>
                <w:szCs w:val="20"/>
                <w:vertAlign w:val="subscript"/>
              </w:rPr>
              <w:t>4:5</w:t>
            </w:r>
            <w:r w:rsidRPr="00B62C84">
              <w:rPr>
                <w:rFonts w:asciiTheme="minorHAnsi" w:hAnsiTheme="minorHAnsi" w:cstheme="minorHAnsi"/>
                <w:sz w:val="20"/>
                <w:szCs w:val="20"/>
              </w:rPr>
              <w:t xml:space="preserve"> progeny rows during the 2024 season. </w:t>
            </w:r>
          </w:p>
          <w:p w14:paraId="1A8882E4" w14:textId="4E70A358" w:rsidR="004A74E2" w:rsidRPr="00B62C84" w:rsidRDefault="004A74E2" w:rsidP="00CA44C9">
            <w:pPr>
              <w:pStyle w:val="NoSpacing"/>
              <w:rPr>
                <w:rFonts w:asciiTheme="minorHAnsi" w:hAnsiTheme="minorHAnsi" w:cstheme="minorHAnsi"/>
                <w:sz w:val="20"/>
                <w:szCs w:val="20"/>
              </w:rPr>
            </w:pPr>
          </w:p>
        </w:tc>
      </w:tr>
      <w:tr w:rsidR="00AC69AD" w:rsidRPr="003507CA" w14:paraId="0FF2D093" w14:textId="77777777" w:rsidTr="001D1DD2">
        <w:trPr>
          <w:trHeight w:val="217"/>
        </w:trPr>
        <w:tc>
          <w:tcPr>
            <w:tcW w:w="9000" w:type="dxa"/>
            <w:gridSpan w:val="2"/>
            <w:shd w:val="clear" w:color="auto" w:fill="FFFF99"/>
            <w:tcMar>
              <w:top w:w="43" w:type="dxa"/>
              <w:left w:w="0" w:type="dxa"/>
              <w:bottom w:w="43" w:type="dxa"/>
              <w:right w:w="0" w:type="dxa"/>
            </w:tcMar>
          </w:tcPr>
          <w:p w14:paraId="0A91A1A4" w14:textId="77777777" w:rsidR="00AC69AD" w:rsidRPr="003507CA" w:rsidRDefault="00AC69AD" w:rsidP="004307E6">
            <w:pPr>
              <w:spacing w:line="240" w:lineRule="auto"/>
              <w:rPr>
                <w:rFonts w:asciiTheme="minorHAnsi" w:hAnsiTheme="minorHAnsi" w:cstheme="minorHAnsi"/>
                <w:b/>
                <w:sz w:val="22"/>
                <w:szCs w:val="22"/>
              </w:rPr>
            </w:pPr>
            <w:r w:rsidRPr="003507CA">
              <w:rPr>
                <w:rFonts w:asciiTheme="minorHAnsi" w:hAnsiTheme="minorHAnsi" w:cstheme="minorHAnsi"/>
                <w:b/>
                <w:sz w:val="22"/>
                <w:szCs w:val="22"/>
              </w:rPr>
              <w:lastRenderedPageBreak/>
              <w:t xml:space="preserve">Non-technical </w:t>
            </w:r>
            <w:r w:rsidR="004307E6">
              <w:rPr>
                <w:rFonts w:asciiTheme="minorHAnsi" w:hAnsiTheme="minorHAnsi" w:cstheme="minorHAnsi"/>
                <w:b/>
                <w:sz w:val="22"/>
                <w:szCs w:val="22"/>
              </w:rPr>
              <w:t>project</w:t>
            </w:r>
            <w:r w:rsidR="00685ED5">
              <w:rPr>
                <w:rFonts w:asciiTheme="minorHAnsi" w:hAnsiTheme="minorHAnsi" w:cstheme="minorHAnsi"/>
                <w:b/>
                <w:sz w:val="22"/>
                <w:szCs w:val="22"/>
              </w:rPr>
              <w:t xml:space="preserve"> status</w:t>
            </w:r>
            <w:r w:rsidRPr="003507CA">
              <w:rPr>
                <w:rFonts w:asciiTheme="minorHAnsi" w:hAnsiTheme="minorHAnsi" w:cstheme="minorHAnsi"/>
                <w:b/>
                <w:sz w:val="22"/>
                <w:szCs w:val="22"/>
              </w:rPr>
              <w:t>:</w:t>
            </w:r>
          </w:p>
        </w:tc>
      </w:tr>
      <w:tr w:rsidR="00957DE7" w:rsidRPr="003507CA" w14:paraId="160201EF" w14:textId="77777777" w:rsidTr="00C758F8">
        <w:trPr>
          <w:trHeight w:val="2242"/>
        </w:trPr>
        <w:tc>
          <w:tcPr>
            <w:tcW w:w="9000" w:type="dxa"/>
            <w:gridSpan w:val="2"/>
            <w:tcMar>
              <w:top w:w="43" w:type="dxa"/>
              <w:left w:w="0" w:type="dxa"/>
              <w:bottom w:w="43" w:type="dxa"/>
              <w:right w:w="0" w:type="dxa"/>
            </w:tcMar>
          </w:tcPr>
          <w:p w14:paraId="71384027" w14:textId="4832F7BB" w:rsidR="00957DE7" w:rsidRPr="009742F4" w:rsidRDefault="00E42E64" w:rsidP="00132A6D">
            <w:pPr>
              <w:spacing w:line="240" w:lineRule="auto"/>
              <w:rPr>
                <w:rFonts w:asciiTheme="minorHAnsi" w:hAnsiTheme="minorHAnsi" w:cstheme="minorHAnsi"/>
                <w:sz w:val="20"/>
                <w:szCs w:val="20"/>
              </w:rPr>
            </w:pPr>
            <w:r w:rsidRPr="009742F4">
              <w:rPr>
                <w:rFonts w:asciiTheme="minorHAnsi" w:hAnsiTheme="minorHAnsi" w:cstheme="minorHAnsi"/>
                <w:sz w:val="20"/>
                <w:szCs w:val="20"/>
              </w:rPr>
              <w:lastRenderedPageBreak/>
              <w:t>The southern root-knot nematode (SRKN) is an important, yield-limiting pathogen of soybean</w:t>
            </w:r>
            <w:r w:rsidR="005A0CBF" w:rsidRPr="009742F4">
              <w:rPr>
                <w:rFonts w:asciiTheme="minorHAnsi" w:hAnsiTheme="minorHAnsi" w:cstheme="minorHAnsi"/>
                <w:sz w:val="20"/>
                <w:szCs w:val="20"/>
              </w:rPr>
              <w:t xml:space="preserve"> in</w:t>
            </w:r>
            <w:r w:rsidRPr="009742F4">
              <w:rPr>
                <w:rFonts w:asciiTheme="minorHAnsi" w:hAnsiTheme="minorHAnsi" w:cstheme="minorHAnsi"/>
                <w:sz w:val="20"/>
                <w:szCs w:val="20"/>
              </w:rPr>
              <w:t xml:space="preserve"> the Mid-Southern U.S.  This project</w:t>
            </w:r>
            <w:r w:rsidR="0011495D" w:rsidRPr="009742F4">
              <w:rPr>
                <w:rFonts w:asciiTheme="minorHAnsi" w:hAnsiTheme="minorHAnsi" w:cstheme="minorHAnsi"/>
                <w:sz w:val="20"/>
                <w:szCs w:val="20"/>
              </w:rPr>
              <w:t xml:space="preserve"> was </w:t>
            </w:r>
            <w:r w:rsidRPr="009742F4">
              <w:rPr>
                <w:rFonts w:asciiTheme="minorHAnsi" w:hAnsiTheme="minorHAnsi" w:cstheme="minorHAnsi"/>
                <w:sz w:val="20"/>
                <w:szCs w:val="20"/>
              </w:rPr>
              <w:t xml:space="preserve">designed to determine how </w:t>
            </w:r>
            <w:r w:rsidR="00812118" w:rsidRPr="009742F4">
              <w:rPr>
                <w:rFonts w:asciiTheme="minorHAnsi" w:hAnsiTheme="minorHAnsi" w:cstheme="minorHAnsi"/>
                <w:sz w:val="20"/>
                <w:szCs w:val="20"/>
              </w:rPr>
              <w:t xml:space="preserve">different </w:t>
            </w:r>
            <w:r w:rsidR="0011495D" w:rsidRPr="009742F4">
              <w:rPr>
                <w:rFonts w:asciiTheme="minorHAnsi" w:hAnsiTheme="minorHAnsi" w:cstheme="minorHAnsi"/>
                <w:sz w:val="20"/>
                <w:szCs w:val="20"/>
              </w:rPr>
              <w:t xml:space="preserve">SRKN-resistance sources </w:t>
            </w:r>
            <w:r w:rsidRPr="009742F4">
              <w:rPr>
                <w:rFonts w:asciiTheme="minorHAnsi" w:hAnsiTheme="minorHAnsi" w:cstheme="minorHAnsi"/>
                <w:sz w:val="20"/>
                <w:szCs w:val="20"/>
              </w:rPr>
              <w:t>affect</w:t>
            </w:r>
            <w:r w:rsidR="0011495D" w:rsidRPr="009742F4">
              <w:rPr>
                <w:rFonts w:asciiTheme="minorHAnsi" w:hAnsiTheme="minorHAnsi" w:cstheme="minorHAnsi"/>
                <w:sz w:val="20"/>
                <w:szCs w:val="20"/>
              </w:rPr>
              <w:t xml:space="preserve"> nematode maturity, reproduction, and galling and develop SRKN-resistant MG4 soybean varieties</w:t>
            </w:r>
            <w:r w:rsidR="00812118" w:rsidRPr="009742F4">
              <w:rPr>
                <w:rFonts w:asciiTheme="minorHAnsi" w:hAnsiTheme="minorHAnsi" w:cstheme="minorHAnsi"/>
                <w:sz w:val="20"/>
                <w:szCs w:val="20"/>
              </w:rPr>
              <w:t xml:space="preserve">.  </w:t>
            </w:r>
            <w:r w:rsidRPr="009742F4">
              <w:rPr>
                <w:rFonts w:asciiTheme="minorHAnsi" w:hAnsiTheme="minorHAnsi" w:cstheme="minorHAnsi"/>
                <w:sz w:val="20"/>
                <w:szCs w:val="20"/>
              </w:rPr>
              <w:t>Currently, breeding programs in M</w:t>
            </w:r>
            <w:r w:rsidR="00812118" w:rsidRPr="009742F4">
              <w:rPr>
                <w:rFonts w:asciiTheme="minorHAnsi" w:hAnsiTheme="minorHAnsi" w:cstheme="minorHAnsi"/>
                <w:sz w:val="20"/>
                <w:szCs w:val="20"/>
              </w:rPr>
              <w:t>O</w:t>
            </w:r>
            <w:r w:rsidRPr="009742F4">
              <w:rPr>
                <w:rFonts w:asciiTheme="minorHAnsi" w:hAnsiTheme="minorHAnsi" w:cstheme="minorHAnsi"/>
                <w:sz w:val="20"/>
                <w:szCs w:val="20"/>
              </w:rPr>
              <w:t xml:space="preserve"> and A</w:t>
            </w:r>
            <w:r w:rsidR="00812118" w:rsidRPr="009742F4">
              <w:rPr>
                <w:rFonts w:asciiTheme="minorHAnsi" w:hAnsiTheme="minorHAnsi" w:cstheme="minorHAnsi"/>
                <w:sz w:val="20"/>
                <w:szCs w:val="20"/>
              </w:rPr>
              <w:t>R</w:t>
            </w:r>
            <w:r w:rsidRPr="009742F4">
              <w:rPr>
                <w:rFonts w:asciiTheme="minorHAnsi" w:hAnsiTheme="minorHAnsi" w:cstheme="minorHAnsi"/>
                <w:sz w:val="20"/>
                <w:szCs w:val="20"/>
              </w:rPr>
              <w:t xml:space="preserve"> have selected advanced </w:t>
            </w:r>
            <w:r w:rsidR="0011495D" w:rsidRPr="009742F4">
              <w:rPr>
                <w:rFonts w:asciiTheme="minorHAnsi" w:hAnsiTheme="minorHAnsi" w:cstheme="minorHAnsi"/>
                <w:sz w:val="20"/>
                <w:szCs w:val="20"/>
              </w:rPr>
              <w:t xml:space="preserve">germplasm </w:t>
            </w:r>
            <w:r w:rsidRPr="009742F4">
              <w:rPr>
                <w:rFonts w:asciiTheme="minorHAnsi" w:hAnsiTheme="minorHAnsi" w:cstheme="minorHAnsi"/>
                <w:sz w:val="20"/>
                <w:szCs w:val="20"/>
              </w:rPr>
              <w:t>derived from SRKN-resistant pedigrees</w:t>
            </w:r>
            <w:r w:rsidR="00812118" w:rsidRPr="009742F4">
              <w:rPr>
                <w:rFonts w:asciiTheme="minorHAnsi" w:hAnsiTheme="minorHAnsi" w:cstheme="minorHAnsi"/>
                <w:sz w:val="20"/>
                <w:szCs w:val="20"/>
              </w:rPr>
              <w:t xml:space="preserve">.  </w:t>
            </w:r>
            <w:r w:rsidR="0011495D" w:rsidRPr="009742F4">
              <w:rPr>
                <w:rFonts w:asciiTheme="minorHAnsi" w:hAnsiTheme="minorHAnsi" w:cstheme="minorHAnsi"/>
                <w:sz w:val="20"/>
                <w:szCs w:val="20"/>
              </w:rPr>
              <w:t xml:space="preserve">These entries will be screened with molecular markers and in the field in AR and MO.  Different sources of SRKN-resistant parents identified by molecular markers will be assayed for SRKN maturity.  </w:t>
            </w:r>
          </w:p>
        </w:tc>
      </w:tr>
    </w:tbl>
    <w:p w14:paraId="6610DCF4"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E814B8">
      <w:headerReference w:type="first" r:id="rId9"/>
      <w:foot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87659" w14:textId="77777777" w:rsidR="00536126" w:rsidRDefault="00536126" w:rsidP="00BD1E89">
      <w:pPr>
        <w:spacing w:line="240" w:lineRule="auto"/>
      </w:pPr>
      <w:r>
        <w:separator/>
      </w:r>
    </w:p>
  </w:endnote>
  <w:endnote w:type="continuationSeparator" w:id="0">
    <w:p w14:paraId="21135E7F" w14:textId="77777777" w:rsidR="00536126" w:rsidRDefault="00536126"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5E14" w14:textId="77777777" w:rsidR="00782D0B" w:rsidRPr="00782D0B" w:rsidRDefault="00EA2626">
    <w:pPr>
      <w:pStyle w:val="Footer"/>
      <w:rPr>
        <w:rFonts w:asciiTheme="minorHAnsi" w:hAnsiTheme="minorHAnsi" w:cstheme="minorHAnsi"/>
        <w:sz w:val="16"/>
      </w:rPr>
    </w:pPr>
    <w:r>
      <w:rPr>
        <w:rFonts w:asciiTheme="minorHAnsi" w:hAnsiTheme="minorHAnsi" w:cstheme="minorHAnsi"/>
        <w:sz w:val="16"/>
      </w:rPr>
      <w:t>Rev20210901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B5E89" w14:textId="77777777" w:rsidR="00536126" w:rsidRDefault="00536126" w:rsidP="00BD1E89">
      <w:pPr>
        <w:spacing w:line="240" w:lineRule="auto"/>
      </w:pPr>
      <w:r>
        <w:separator/>
      </w:r>
    </w:p>
  </w:footnote>
  <w:footnote w:type="continuationSeparator" w:id="0">
    <w:p w14:paraId="255585F0" w14:textId="77777777" w:rsidR="00536126" w:rsidRDefault="00536126"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BBB3"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1F6F"/>
    <w:multiLevelType w:val="hybridMultilevel"/>
    <w:tmpl w:val="A1A6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F02C3"/>
    <w:multiLevelType w:val="hybridMultilevel"/>
    <w:tmpl w:val="4BF2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710B0"/>
    <w:multiLevelType w:val="hybridMultilevel"/>
    <w:tmpl w:val="A6D6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3E0D354A"/>
    <w:multiLevelType w:val="hybridMultilevel"/>
    <w:tmpl w:val="7DE4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70D31"/>
    <w:multiLevelType w:val="hybridMultilevel"/>
    <w:tmpl w:val="9476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050B9"/>
    <w:multiLevelType w:val="hybridMultilevel"/>
    <w:tmpl w:val="E184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26FBE"/>
    <w:multiLevelType w:val="hybridMultilevel"/>
    <w:tmpl w:val="CC0E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B6B93"/>
    <w:multiLevelType w:val="hybridMultilevel"/>
    <w:tmpl w:val="5364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abstractNumId w:val="3"/>
  </w:num>
  <w:num w:numId="2">
    <w:abstractNumId w:val="9"/>
  </w:num>
  <w:num w:numId="3">
    <w:abstractNumId w:val="3"/>
  </w:num>
  <w:num w:numId="4">
    <w:abstractNumId w:val="8"/>
  </w:num>
  <w:num w:numId="5">
    <w:abstractNumId w:val="6"/>
  </w:num>
  <w:num w:numId="6">
    <w:abstractNumId w:val="1"/>
  </w:num>
  <w:num w:numId="7">
    <w:abstractNumId w:val="4"/>
  </w:num>
  <w:num w:numId="8">
    <w:abstractNumId w:val="5"/>
  </w:num>
  <w:num w:numId="9">
    <w:abstractNumId w:val="6"/>
  </w:num>
  <w:num w:numId="10">
    <w:abstractNumId w:val="0"/>
  </w:num>
  <w:num w:numId="11">
    <w:abstractNumId w:val="7"/>
  </w:num>
  <w:num w:numId="12">
    <w:abstractNumId w:val="2"/>
  </w:num>
  <w:num w:numId="13">
    <w:abstractNumId w:val="1"/>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37FDA"/>
    <w:rsid w:val="0004056A"/>
    <w:rsid w:val="00054EF7"/>
    <w:rsid w:val="000613DF"/>
    <w:rsid w:val="0007079A"/>
    <w:rsid w:val="00083E61"/>
    <w:rsid w:val="00087C7F"/>
    <w:rsid w:val="000942F4"/>
    <w:rsid w:val="000A378E"/>
    <w:rsid w:val="000B06CD"/>
    <w:rsid w:val="000B7D6D"/>
    <w:rsid w:val="000C41F6"/>
    <w:rsid w:val="000D726D"/>
    <w:rsid w:val="000D782C"/>
    <w:rsid w:val="000E6330"/>
    <w:rsid w:val="000F52B0"/>
    <w:rsid w:val="00107714"/>
    <w:rsid w:val="0011495D"/>
    <w:rsid w:val="00115BC3"/>
    <w:rsid w:val="00123E01"/>
    <w:rsid w:val="00132A6D"/>
    <w:rsid w:val="00153F61"/>
    <w:rsid w:val="0016007C"/>
    <w:rsid w:val="00162654"/>
    <w:rsid w:val="00184DBB"/>
    <w:rsid w:val="001943BF"/>
    <w:rsid w:val="001A6320"/>
    <w:rsid w:val="001B5C81"/>
    <w:rsid w:val="001C3132"/>
    <w:rsid w:val="001C34A3"/>
    <w:rsid w:val="001C4C57"/>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361AA"/>
    <w:rsid w:val="003507CA"/>
    <w:rsid w:val="0035304F"/>
    <w:rsid w:val="003621D3"/>
    <w:rsid w:val="00362A90"/>
    <w:rsid w:val="00370E27"/>
    <w:rsid w:val="003712B5"/>
    <w:rsid w:val="00373BBC"/>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728E"/>
    <w:rsid w:val="0042023B"/>
    <w:rsid w:val="00424292"/>
    <w:rsid w:val="00425FE4"/>
    <w:rsid w:val="004307E6"/>
    <w:rsid w:val="0043706C"/>
    <w:rsid w:val="00437218"/>
    <w:rsid w:val="00445312"/>
    <w:rsid w:val="00451F10"/>
    <w:rsid w:val="00452DF1"/>
    <w:rsid w:val="00455551"/>
    <w:rsid w:val="00470EEC"/>
    <w:rsid w:val="00472A90"/>
    <w:rsid w:val="004A74E2"/>
    <w:rsid w:val="004A7A14"/>
    <w:rsid w:val="004A7B46"/>
    <w:rsid w:val="004C0762"/>
    <w:rsid w:val="004C09F2"/>
    <w:rsid w:val="004C6840"/>
    <w:rsid w:val="004D0D1D"/>
    <w:rsid w:val="004D6316"/>
    <w:rsid w:val="004E4F44"/>
    <w:rsid w:val="005020D3"/>
    <w:rsid w:val="00507BF3"/>
    <w:rsid w:val="00521C25"/>
    <w:rsid w:val="00535394"/>
    <w:rsid w:val="00536126"/>
    <w:rsid w:val="0054156B"/>
    <w:rsid w:val="00582B63"/>
    <w:rsid w:val="005844D0"/>
    <w:rsid w:val="00596B63"/>
    <w:rsid w:val="005A0CBF"/>
    <w:rsid w:val="005A61C0"/>
    <w:rsid w:val="005B5964"/>
    <w:rsid w:val="005D7144"/>
    <w:rsid w:val="005E2A77"/>
    <w:rsid w:val="005E7DB4"/>
    <w:rsid w:val="005F492E"/>
    <w:rsid w:val="0060410C"/>
    <w:rsid w:val="00605758"/>
    <w:rsid w:val="00605BA8"/>
    <w:rsid w:val="00632864"/>
    <w:rsid w:val="00643728"/>
    <w:rsid w:val="006507FB"/>
    <w:rsid w:val="006572F3"/>
    <w:rsid w:val="00657693"/>
    <w:rsid w:val="006709BB"/>
    <w:rsid w:val="00684BCF"/>
    <w:rsid w:val="00685ED5"/>
    <w:rsid w:val="00693D9D"/>
    <w:rsid w:val="0069666C"/>
    <w:rsid w:val="006A3912"/>
    <w:rsid w:val="006A6A77"/>
    <w:rsid w:val="006A6CCC"/>
    <w:rsid w:val="006B1F6B"/>
    <w:rsid w:val="006D3433"/>
    <w:rsid w:val="006E0A14"/>
    <w:rsid w:val="006E0A91"/>
    <w:rsid w:val="006E24E6"/>
    <w:rsid w:val="006E412F"/>
    <w:rsid w:val="006F26E4"/>
    <w:rsid w:val="006F6240"/>
    <w:rsid w:val="006F62F8"/>
    <w:rsid w:val="00704574"/>
    <w:rsid w:val="00713B34"/>
    <w:rsid w:val="00717254"/>
    <w:rsid w:val="007249F5"/>
    <w:rsid w:val="007259A0"/>
    <w:rsid w:val="00727DDA"/>
    <w:rsid w:val="00733D8F"/>
    <w:rsid w:val="00736421"/>
    <w:rsid w:val="00744EF4"/>
    <w:rsid w:val="007521E7"/>
    <w:rsid w:val="00762B88"/>
    <w:rsid w:val="00773484"/>
    <w:rsid w:val="00777C6E"/>
    <w:rsid w:val="007823B2"/>
    <w:rsid w:val="00782D0B"/>
    <w:rsid w:val="007860C0"/>
    <w:rsid w:val="00794235"/>
    <w:rsid w:val="007A72A3"/>
    <w:rsid w:val="007B0BBB"/>
    <w:rsid w:val="007B7BC8"/>
    <w:rsid w:val="007C03E3"/>
    <w:rsid w:val="007C2C8A"/>
    <w:rsid w:val="007C520F"/>
    <w:rsid w:val="007D0E1B"/>
    <w:rsid w:val="007D5174"/>
    <w:rsid w:val="007F2B95"/>
    <w:rsid w:val="00806DDF"/>
    <w:rsid w:val="008101B7"/>
    <w:rsid w:val="00810449"/>
    <w:rsid w:val="00812118"/>
    <w:rsid w:val="00824CD4"/>
    <w:rsid w:val="008457BA"/>
    <w:rsid w:val="00845912"/>
    <w:rsid w:val="008562C0"/>
    <w:rsid w:val="00864BAF"/>
    <w:rsid w:val="0088793A"/>
    <w:rsid w:val="00897B7D"/>
    <w:rsid w:val="008A44FA"/>
    <w:rsid w:val="008B1D7D"/>
    <w:rsid w:val="008B4A0E"/>
    <w:rsid w:val="008C6D67"/>
    <w:rsid w:val="008D473B"/>
    <w:rsid w:val="008E391F"/>
    <w:rsid w:val="008F1BE4"/>
    <w:rsid w:val="008F1CF3"/>
    <w:rsid w:val="008F5FC8"/>
    <w:rsid w:val="00917422"/>
    <w:rsid w:val="009211F7"/>
    <w:rsid w:val="0092416B"/>
    <w:rsid w:val="009245D5"/>
    <w:rsid w:val="009258E5"/>
    <w:rsid w:val="00944003"/>
    <w:rsid w:val="00957DE7"/>
    <w:rsid w:val="0096092A"/>
    <w:rsid w:val="00964D40"/>
    <w:rsid w:val="00966780"/>
    <w:rsid w:val="0097290B"/>
    <w:rsid w:val="009742F4"/>
    <w:rsid w:val="00974467"/>
    <w:rsid w:val="00981460"/>
    <w:rsid w:val="00994AEE"/>
    <w:rsid w:val="009C246A"/>
    <w:rsid w:val="009C5215"/>
    <w:rsid w:val="009C5A99"/>
    <w:rsid w:val="009D4D42"/>
    <w:rsid w:val="009D5AFE"/>
    <w:rsid w:val="009D739E"/>
    <w:rsid w:val="009E19AE"/>
    <w:rsid w:val="009F4968"/>
    <w:rsid w:val="009F6283"/>
    <w:rsid w:val="00A015EB"/>
    <w:rsid w:val="00A1615F"/>
    <w:rsid w:val="00A20BF0"/>
    <w:rsid w:val="00A31942"/>
    <w:rsid w:val="00A37E7D"/>
    <w:rsid w:val="00A433FA"/>
    <w:rsid w:val="00A44140"/>
    <w:rsid w:val="00A50FE6"/>
    <w:rsid w:val="00A518F5"/>
    <w:rsid w:val="00A65BD5"/>
    <w:rsid w:val="00A71013"/>
    <w:rsid w:val="00A80AEA"/>
    <w:rsid w:val="00A86BA2"/>
    <w:rsid w:val="00A929F3"/>
    <w:rsid w:val="00AA0D60"/>
    <w:rsid w:val="00AA6752"/>
    <w:rsid w:val="00AB4B27"/>
    <w:rsid w:val="00AB63EC"/>
    <w:rsid w:val="00AC69AD"/>
    <w:rsid w:val="00AD5407"/>
    <w:rsid w:val="00AE34BF"/>
    <w:rsid w:val="00AE3CBA"/>
    <w:rsid w:val="00B14FD9"/>
    <w:rsid w:val="00B162EB"/>
    <w:rsid w:val="00B20FB0"/>
    <w:rsid w:val="00B26439"/>
    <w:rsid w:val="00B316A1"/>
    <w:rsid w:val="00B31D47"/>
    <w:rsid w:val="00B33DA7"/>
    <w:rsid w:val="00B37759"/>
    <w:rsid w:val="00B3786C"/>
    <w:rsid w:val="00B42C7C"/>
    <w:rsid w:val="00B54C8A"/>
    <w:rsid w:val="00B603B4"/>
    <w:rsid w:val="00B62C84"/>
    <w:rsid w:val="00B67297"/>
    <w:rsid w:val="00B7052F"/>
    <w:rsid w:val="00B71665"/>
    <w:rsid w:val="00B74CE8"/>
    <w:rsid w:val="00B7562B"/>
    <w:rsid w:val="00B7577C"/>
    <w:rsid w:val="00B84923"/>
    <w:rsid w:val="00B9325C"/>
    <w:rsid w:val="00B9392A"/>
    <w:rsid w:val="00BA502A"/>
    <w:rsid w:val="00BB25AA"/>
    <w:rsid w:val="00BC3D5F"/>
    <w:rsid w:val="00BD1E89"/>
    <w:rsid w:val="00BE0222"/>
    <w:rsid w:val="00BE7127"/>
    <w:rsid w:val="00BF333A"/>
    <w:rsid w:val="00C02347"/>
    <w:rsid w:val="00C03C0F"/>
    <w:rsid w:val="00C223FB"/>
    <w:rsid w:val="00C52FCC"/>
    <w:rsid w:val="00C5399A"/>
    <w:rsid w:val="00C55C81"/>
    <w:rsid w:val="00C601A6"/>
    <w:rsid w:val="00C602B2"/>
    <w:rsid w:val="00C71FDE"/>
    <w:rsid w:val="00C758F8"/>
    <w:rsid w:val="00C86881"/>
    <w:rsid w:val="00C9612A"/>
    <w:rsid w:val="00CA2495"/>
    <w:rsid w:val="00CA2F5D"/>
    <w:rsid w:val="00CA44C9"/>
    <w:rsid w:val="00CA4CDD"/>
    <w:rsid w:val="00CB1700"/>
    <w:rsid w:val="00CB2920"/>
    <w:rsid w:val="00CB31E1"/>
    <w:rsid w:val="00CC0B25"/>
    <w:rsid w:val="00CC4A69"/>
    <w:rsid w:val="00CD0D59"/>
    <w:rsid w:val="00CD24CD"/>
    <w:rsid w:val="00CE4772"/>
    <w:rsid w:val="00CE7303"/>
    <w:rsid w:val="00CF1E6A"/>
    <w:rsid w:val="00D00099"/>
    <w:rsid w:val="00D04BE9"/>
    <w:rsid w:val="00D04C40"/>
    <w:rsid w:val="00D15EA8"/>
    <w:rsid w:val="00D30764"/>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B0DFF"/>
    <w:rsid w:val="00DC7BC5"/>
    <w:rsid w:val="00DD2F80"/>
    <w:rsid w:val="00DF5E9A"/>
    <w:rsid w:val="00E01D04"/>
    <w:rsid w:val="00E044F1"/>
    <w:rsid w:val="00E109F2"/>
    <w:rsid w:val="00E11369"/>
    <w:rsid w:val="00E24EB0"/>
    <w:rsid w:val="00E42E64"/>
    <w:rsid w:val="00E438DD"/>
    <w:rsid w:val="00E44E9F"/>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9392C"/>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EC4A"/>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NoSpacing">
    <w:name w:val="No Spacing"/>
    <w:uiPriority w:val="1"/>
    <w:qFormat/>
    <w:rsid w:val="004A74E2"/>
    <w:pPr>
      <w:spacing w:after="0" w:line="240" w:lineRule="auto"/>
    </w:pPr>
    <w:rPr>
      <w:rFonts w:ascii="Trebuchet MS" w:eastAsia="Times New Roman" w:hAnsi="Trebuchet MS" w:cs="Arial"/>
      <w:bCs/>
      <w:kern w:val="3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34777286">
      <w:bodyDiv w:val="1"/>
      <w:marLeft w:val="0"/>
      <w:marRight w:val="0"/>
      <w:marTop w:val="0"/>
      <w:marBottom w:val="0"/>
      <w:divBdr>
        <w:top w:val="none" w:sz="0" w:space="0" w:color="auto"/>
        <w:left w:val="none" w:sz="0" w:space="0" w:color="auto"/>
        <w:bottom w:val="none" w:sz="0" w:space="0" w:color="auto"/>
        <w:right w:val="none" w:sz="0" w:space="0" w:color="auto"/>
      </w:divBdr>
    </w:div>
    <w:div w:id="27062711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782461631">
      <w:bodyDiv w:val="1"/>
      <w:marLeft w:val="0"/>
      <w:marRight w:val="0"/>
      <w:marTop w:val="0"/>
      <w:marBottom w:val="0"/>
      <w:divBdr>
        <w:top w:val="none" w:sz="0" w:space="0" w:color="auto"/>
        <w:left w:val="none" w:sz="0" w:space="0" w:color="auto"/>
        <w:bottom w:val="none" w:sz="0" w:space="0" w:color="auto"/>
        <w:right w:val="none" w:sz="0" w:space="0" w:color="auto"/>
      </w:divBdr>
    </w:div>
    <w:div w:id="919871388">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645504439">
      <w:bodyDiv w:val="1"/>
      <w:marLeft w:val="0"/>
      <w:marRight w:val="0"/>
      <w:marTop w:val="0"/>
      <w:marBottom w:val="0"/>
      <w:divBdr>
        <w:top w:val="none" w:sz="0" w:space="0" w:color="auto"/>
        <w:left w:val="none" w:sz="0" w:space="0" w:color="auto"/>
        <w:bottom w:val="none" w:sz="0" w:space="0" w:color="auto"/>
        <w:right w:val="none" w:sz="0" w:space="0" w:color="auto"/>
      </w:divBdr>
    </w:div>
    <w:div w:id="1650405401">
      <w:bodyDiv w:val="1"/>
      <w:marLeft w:val="0"/>
      <w:marRight w:val="0"/>
      <w:marTop w:val="0"/>
      <w:marBottom w:val="0"/>
      <w:divBdr>
        <w:top w:val="none" w:sz="0" w:space="0" w:color="auto"/>
        <w:left w:val="none" w:sz="0" w:space="0" w:color="auto"/>
        <w:bottom w:val="none" w:sz="0" w:space="0" w:color="auto"/>
        <w:right w:val="none" w:sz="0" w:space="0" w:color="auto"/>
      </w:divBdr>
    </w:div>
    <w:div w:id="1885486528">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0EA27-A856-407F-9F60-6955597F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Reviewer</cp:lastModifiedBy>
  <cp:revision>16</cp:revision>
  <cp:lastPrinted>2015-12-03T22:07:00Z</cp:lastPrinted>
  <dcterms:created xsi:type="dcterms:W3CDTF">2022-09-16T14:17:00Z</dcterms:created>
  <dcterms:modified xsi:type="dcterms:W3CDTF">2023-03-20T17:12:00Z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2022-12-13T14:38:09Z</vt:lpwstr>
  </property>
  <property fmtid="{D5CDD505-2E9C-101B-9397-08002B2CF9AE}" pid="4" name="MSIP_Label_0570d0e1-5e3d-4557-a9f8-84d8494b9cc8_Method">
    <vt:lpwstr>Privileged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bede1330-3dba-4104-bca1-220b5c8a16f4</vt:lpwstr>
  </property>
  <property fmtid="{D5CDD505-2E9C-101B-9397-08002B2CF9AE}" pid="8" name="MSIP_Label_0570d0e1-5e3d-4557-a9f8-84d8494b9cc8_ContentBits">
    <vt:lpwstr>0</vt:lpwstr>
  </property>
</Properties>
</file>