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27"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4"/>
        <w:gridCol w:w="5953"/>
      </w:tblGrid>
      <w:tr w:rsidR="00B7577C" w:rsidRPr="009D5AFE" w14:paraId="63BEA769" w14:textId="77777777" w:rsidTr="00CF2A30">
        <w:trPr>
          <w:trHeight w:val="63"/>
        </w:trPr>
        <w:tc>
          <w:tcPr>
            <w:tcW w:w="8727"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CF2A30">
        <w:trPr>
          <w:trHeight w:val="19"/>
        </w:trPr>
        <w:tc>
          <w:tcPr>
            <w:tcW w:w="2774"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rPr>
                <w:color w:val="auto"/>
              </w:rPr>
            </w:pPr>
            <w:r w:rsidRPr="003507CA">
              <w:rPr>
                <w:rFonts w:asciiTheme="minorHAnsi" w:hAnsiTheme="minorHAnsi" w:cstheme="minorHAnsi"/>
                <w:color w:val="auto"/>
                <w:sz w:val="22"/>
                <w:szCs w:val="22"/>
              </w:rPr>
              <w:t>Project Number:</w:t>
            </w:r>
          </w:p>
        </w:tc>
        <w:tc>
          <w:tcPr>
            <w:tcW w:w="595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CF2A30">
        <w:trPr>
          <w:trHeight w:val="60"/>
        </w:trPr>
        <w:tc>
          <w:tcPr>
            <w:tcW w:w="2774"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rPr>
                <w:i/>
                <w:color w:val="auto"/>
              </w:rPr>
            </w:pPr>
            <w:r w:rsidRPr="009D5AFE">
              <w:rPr>
                <w:color w:val="auto"/>
              </w:rPr>
              <w:t xml:space="preserve">Project Title: </w:t>
            </w:r>
          </w:p>
        </w:tc>
        <w:tc>
          <w:tcPr>
            <w:tcW w:w="595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Exploitation of weed species extracts as an effective and environmental friendly strategy to control insects and deer in soybean</w:t>
            </w:r>
          </w:p>
        </w:tc>
      </w:tr>
      <w:tr w:rsidR="0049233A" w:rsidRPr="009D5AFE" w14:paraId="6A7B806C" w14:textId="77777777" w:rsidTr="00CF2A30">
        <w:trPr>
          <w:trHeight w:val="17"/>
        </w:trPr>
        <w:tc>
          <w:tcPr>
            <w:tcW w:w="2774"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95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CF2A30">
        <w:trPr>
          <w:trHeight w:val="19"/>
        </w:trPr>
        <w:tc>
          <w:tcPr>
            <w:tcW w:w="2774"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rPr>
                <w:i/>
                <w:color w:val="auto"/>
              </w:rPr>
            </w:pPr>
            <w:r>
              <w:rPr>
                <w:rFonts w:asciiTheme="minorHAnsi" w:hAnsiTheme="minorHAnsi" w:cstheme="minorHAnsi"/>
                <w:sz w:val="22"/>
                <w:szCs w:val="22"/>
              </w:rPr>
              <w:t>Project Lead Name:</w:t>
            </w:r>
          </w:p>
        </w:tc>
        <w:tc>
          <w:tcPr>
            <w:tcW w:w="5953"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CF2A30">
        <w:trPr>
          <w:trHeight w:val="19"/>
        </w:trPr>
        <w:tc>
          <w:tcPr>
            <w:tcW w:w="2774"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rPr>
                <w:color w:val="auto"/>
              </w:rPr>
            </w:pPr>
            <w:r>
              <w:rPr>
                <w:color w:val="auto"/>
              </w:rPr>
              <w:t>Report Period:</w:t>
            </w:r>
          </w:p>
        </w:tc>
        <w:tc>
          <w:tcPr>
            <w:tcW w:w="5953" w:type="dxa"/>
            <w:tcMar>
              <w:top w:w="43" w:type="dxa"/>
              <w:left w:w="0" w:type="dxa"/>
              <w:bottom w:w="43" w:type="dxa"/>
              <w:right w:w="0" w:type="dxa"/>
            </w:tcMar>
          </w:tcPr>
          <w:p w14:paraId="26259BA5" w14:textId="727B7C2A" w:rsidR="0049233A" w:rsidRPr="009D5AFE" w:rsidRDefault="00FE5AC3" w:rsidP="0049233A">
            <w:r>
              <w:rPr>
                <w:rFonts w:asciiTheme="minorHAnsi" w:hAnsiTheme="minorHAnsi" w:cstheme="minorHAnsi"/>
                <w:sz w:val="22"/>
                <w:szCs w:val="22"/>
              </w:rPr>
              <w:t>September 15</w:t>
            </w:r>
            <w:r w:rsidR="0049233A">
              <w:rPr>
                <w:rFonts w:asciiTheme="minorHAnsi" w:hAnsiTheme="minorHAnsi" w:cstheme="minorHAnsi"/>
                <w:sz w:val="22"/>
                <w:szCs w:val="22"/>
              </w:rPr>
              <w:t>, 202</w:t>
            </w:r>
            <w:r w:rsidR="002E3D67">
              <w:rPr>
                <w:rFonts w:asciiTheme="minorHAnsi" w:hAnsiTheme="minorHAnsi" w:cstheme="minorHAnsi"/>
                <w:sz w:val="22"/>
                <w:szCs w:val="22"/>
              </w:rPr>
              <w:t>3</w:t>
            </w:r>
          </w:p>
        </w:tc>
      </w:tr>
      <w:tr w:rsidR="0049233A" w14:paraId="0154F720" w14:textId="77777777" w:rsidTr="00CF2A30">
        <w:trPr>
          <w:trHeight w:val="17"/>
        </w:trPr>
        <w:tc>
          <w:tcPr>
            <w:tcW w:w="8727"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CF2A30">
        <w:trPr>
          <w:trHeight w:val="573"/>
        </w:trPr>
        <w:tc>
          <w:tcPr>
            <w:tcW w:w="8727" w:type="dxa"/>
            <w:gridSpan w:val="2"/>
            <w:tcMar>
              <w:top w:w="43" w:type="dxa"/>
              <w:left w:w="0" w:type="dxa"/>
              <w:bottom w:w="43" w:type="dxa"/>
              <w:right w:w="0" w:type="dxa"/>
            </w:tcMar>
          </w:tcPr>
          <w:p w14:paraId="31AC34CE" w14:textId="3B60891C" w:rsidR="00E55DB0" w:rsidRPr="00E55DB0" w:rsidRDefault="00E55DB0" w:rsidP="00E55DB0">
            <w:pPr>
              <w:spacing w:line="360" w:lineRule="auto"/>
              <w:rPr>
                <w:rFonts w:ascii="Arial" w:hAnsi="Arial"/>
              </w:rPr>
            </w:pPr>
            <w:r w:rsidRPr="00E55DB0">
              <w:rPr>
                <w:rFonts w:ascii="Arial" w:hAnsi="Arial"/>
              </w:rPr>
              <w:t xml:space="preserve">In our research, the primary goal is to identify and develop a natural deer repellent that can be used in soybean crops. This repellent aims to protect soybean plants from damage caused by both deer and insects, ultimately safeguarding soybean yields and promoting more sustainable agriculture. First, we used a special technique called mass spectrometry to look at the chemicals inside the plant. We found that one part of the plant, called Fraction D, has the highest amount of certain compounds called anthraquinones. These compounds can help keep deer away from the plants. Fraction D is especially rich in a specific anthraquinone called </w:t>
            </w:r>
            <w:r>
              <w:rPr>
                <w:rFonts w:ascii="Arial" w:hAnsi="Arial"/>
              </w:rPr>
              <w:t>o</w:t>
            </w:r>
            <w:r w:rsidRPr="00E55DB0">
              <w:rPr>
                <w:rFonts w:ascii="Arial" w:hAnsi="Arial"/>
              </w:rPr>
              <w:t>ranti-obtusin. This discovery could be useful for finding ways to protect crops from herbivores.</w:t>
            </w:r>
          </w:p>
          <w:p w14:paraId="18A465A1" w14:textId="642E1ED2" w:rsidR="00120D5D" w:rsidRPr="00120D5D" w:rsidRDefault="00E55DB0" w:rsidP="00E55DB0">
            <w:pPr>
              <w:spacing w:line="360" w:lineRule="auto"/>
              <w:ind w:firstLine="353"/>
              <w:rPr>
                <w:rFonts w:ascii="Arial" w:hAnsi="Arial"/>
              </w:rPr>
            </w:pPr>
            <w:r w:rsidRPr="00E55DB0">
              <w:rPr>
                <w:rFonts w:ascii="Arial" w:hAnsi="Arial"/>
              </w:rPr>
              <w:t>Next, we started looking at the plant's DNA to find out which genes are responsible for making these helpful compounds. We started with 10 genetic markers, but we plan to look at more in the future. So far, we've taken DNA from the leaves of the plants and used a special method called polymerase chain reaction to make copies of the genes we're interested in. However, we haven't done the full analysis to see how these genes are linked to the compounds that keep herbivores away. These genetic markers are essential for our upcoming experiments in the greenhouse, where we'll try to grow soybean plants with the same herbivore-repelling trait.</w:t>
            </w:r>
          </w:p>
        </w:tc>
      </w:tr>
      <w:tr w:rsidR="00CF2A30" w14:paraId="7A982147" w14:textId="77777777" w:rsidTr="00CF2A30">
        <w:trPr>
          <w:trHeight w:val="262"/>
        </w:trPr>
        <w:tc>
          <w:tcPr>
            <w:tcW w:w="8727"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p>
        </w:tc>
      </w:tr>
      <w:tr w:rsidR="00CF2A30" w14:paraId="0674D9CD" w14:textId="77777777" w:rsidTr="00CF2A30">
        <w:trPr>
          <w:trHeight w:val="2206"/>
        </w:trPr>
        <w:tc>
          <w:tcPr>
            <w:tcW w:w="8727" w:type="dxa"/>
            <w:gridSpan w:val="2"/>
            <w:tcMar>
              <w:top w:w="43" w:type="dxa"/>
              <w:left w:w="0" w:type="dxa"/>
              <w:bottom w:w="43" w:type="dxa"/>
              <w:right w:w="0" w:type="dxa"/>
            </w:tcMar>
          </w:tcPr>
          <w:p w14:paraId="4E081416" w14:textId="443A4B4F" w:rsidR="00CF2A30" w:rsidRDefault="0016704B" w:rsidP="00E82042">
            <w:pPr>
              <w:spacing w:line="360" w:lineRule="auto"/>
              <w:rPr>
                <w:rFonts w:ascii="Arial" w:hAnsi="Arial"/>
              </w:rPr>
            </w:pPr>
            <w:r>
              <w:rPr>
                <w:rFonts w:ascii="Arial" w:hAnsi="Arial"/>
              </w:rPr>
              <w:t xml:space="preserve">The objectives proposed were </w:t>
            </w:r>
            <w:r w:rsidRPr="0016704B">
              <w:rPr>
                <w:rFonts w:ascii="Arial" w:hAnsi="Arial"/>
              </w:rPr>
              <w:t>(1) conduct chromatography and mass spectrometry analysis to identify target anti-herbivore compounds in weeds</w:t>
            </w:r>
            <w:r>
              <w:rPr>
                <w:rFonts w:ascii="Arial" w:hAnsi="Arial"/>
              </w:rPr>
              <w:t>,</w:t>
            </w:r>
            <w:r w:rsidRPr="0016704B">
              <w:rPr>
                <w:rFonts w:ascii="Arial" w:hAnsi="Arial"/>
              </w:rPr>
              <w:t xml:space="preserve"> and (2) conduct quantitative trait loci analysis to identify molecular markers associated with anti-herbivory compounds in weeds.</w:t>
            </w:r>
          </w:p>
          <w:p w14:paraId="5F57105A" w14:textId="77777777" w:rsidR="0016704B" w:rsidRDefault="0016704B" w:rsidP="00E82042">
            <w:pPr>
              <w:spacing w:line="360" w:lineRule="auto"/>
              <w:rPr>
                <w:rFonts w:ascii="Arial" w:hAnsi="Arial"/>
              </w:rPr>
            </w:pPr>
          </w:p>
          <w:p w14:paraId="0DE200F7" w14:textId="75C09F9E" w:rsidR="00FE5AC3" w:rsidRDefault="0016704B" w:rsidP="00FE5AC3">
            <w:pPr>
              <w:pStyle w:val="ListParagraph"/>
              <w:numPr>
                <w:ilvl w:val="0"/>
                <w:numId w:val="47"/>
              </w:numPr>
              <w:ind w:left="360"/>
              <w:rPr>
                <w:rFonts w:ascii="Arial" w:hAnsi="Arial"/>
              </w:rPr>
            </w:pPr>
            <w:r w:rsidRPr="00FE5AC3">
              <w:rPr>
                <w:rFonts w:ascii="Arial" w:hAnsi="Arial"/>
                <w:b/>
                <w:bCs w:val="0"/>
              </w:rPr>
              <w:t>Conduct chromatography and mass spectrometry analysis to identify target anti-herbivore compounds in weeds</w:t>
            </w:r>
            <w:r w:rsidR="00A5274E" w:rsidRPr="00FE5AC3">
              <w:rPr>
                <w:rFonts w:ascii="Arial" w:hAnsi="Arial"/>
              </w:rPr>
              <w:t>:</w:t>
            </w:r>
            <w:r w:rsidR="00A5274E">
              <w:t xml:space="preserve"> </w:t>
            </w:r>
            <w:r w:rsidR="00FE5AC3" w:rsidRPr="00FE5AC3">
              <w:rPr>
                <w:rFonts w:ascii="Arial" w:hAnsi="Arial"/>
              </w:rPr>
              <w:t>The sicklepod plant fractions were collected and subjected to mass spectrometry analysis to determine the percentage composition of the four target anthraquinone compounds. The analysis was performed on six different fractions labeled as A, B, C, D, E, and F.</w:t>
            </w:r>
            <w:r w:rsidR="00FE5AC3" w:rsidRPr="00FE5AC3">
              <w:rPr>
                <w:rFonts w:ascii="Arial" w:hAnsi="Arial"/>
              </w:rPr>
              <w:t xml:space="preserve"> </w:t>
            </w:r>
            <w:r w:rsidR="00FE5AC3" w:rsidRPr="00FE5AC3">
              <w:rPr>
                <w:rFonts w:ascii="Arial" w:hAnsi="Arial"/>
              </w:rPr>
              <w:t>The results of the analysis are presented in the table below, showing the percentage composition of each of the four anthraquinone compounds in the different sicklepod plant fractions:</w:t>
            </w:r>
          </w:p>
          <w:p w14:paraId="76794008" w14:textId="77777777" w:rsidR="00FE5AC3" w:rsidRDefault="00FE5AC3" w:rsidP="00FE5AC3">
            <w:pPr>
              <w:pStyle w:val="ListParagraph"/>
              <w:ind w:left="360"/>
              <w:rPr>
                <w:rFonts w:ascii="Arial" w:hAnsi="Arial"/>
              </w:rPr>
            </w:pPr>
          </w:p>
          <w:tbl>
            <w:tblPr>
              <w:tblW w:w="8540" w:type="dxa"/>
              <w:tblLook w:val="04A0" w:firstRow="1" w:lastRow="0" w:firstColumn="1" w:lastColumn="0" w:noHBand="0" w:noVBand="1"/>
            </w:tblPr>
            <w:tblGrid>
              <w:gridCol w:w="2248"/>
              <w:gridCol w:w="1743"/>
              <w:gridCol w:w="975"/>
              <w:gridCol w:w="1702"/>
              <w:gridCol w:w="1139"/>
              <w:gridCol w:w="733"/>
            </w:tblGrid>
            <w:tr w:rsidR="00FE5AC3" w:rsidRPr="00FE5AC3" w14:paraId="74692FBD" w14:textId="77777777" w:rsidTr="00FE5AC3">
              <w:trPr>
                <w:trHeight w:val="306"/>
              </w:trPr>
              <w:tc>
                <w:tcPr>
                  <w:tcW w:w="2248" w:type="dxa"/>
                  <w:vMerge w:val="restart"/>
                  <w:tcBorders>
                    <w:top w:val="single" w:sz="4" w:space="0" w:color="auto"/>
                    <w:left w:val="nil"/>
                    <w:bottom w:val="single" w:sz="4" w:space="0" w:color="000000"/>
                    <w:right w:val="nil"/>
                  </w:tcBorders>
                  <w:shd w:val="clear" w:color="auto" w:fill="auto"/>
                  <w:vAlign w:val="center"/>
                  <w:hideMark/>
                </w:tcPr>
                <w:p w14:paraId="40804645"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Sicklepod plant fractions collected using mass spectroscopy</w:t>
                  </w:r>
                </w:p>
              </w:tc>
              <w:tc>
                <w:tcPr>
                  <w:tcW w:w="6292" w:type="dxa"/>
                  <w:gridSpan w:val="5"/>
                  <w:tcBorders>
                    <w:top w:val="single" w:sz="4" w:space="0" w:color="auto"/>
                    <w:left w:val="nil"/>
                    <w:bottom w:val="single" w:sz="4" w:space="0" w:color="auto"/>
                    <w:right w:val="nil"/>
                  </w:tcBorders>
                  <w:shd w:val="clear" w:color="auto" w:fill="auto"/>
                  <w:noWrap/>
                  <w:vAlign w:val="center"/>
                  <w:hideMark/>
                </w:tcPr>
                <w:p w14:paraId="14149372"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Antrhaquinone compounds (deer repellent property) from sicklepod plant fractions (%)</w:t>
                  </w:r>
                </w:p>
              </w:tc>
            </w:tr>
            <w:tr w:rsidR="00FE5AC3" w:rsidRPr="00FE5AC3" w14:paraId="30BD4B83" w14:textId="77777777" w:rsidTr="00FE5AC3">
              <w:trPr>
                <w:trHeight w:val="306"/>
              </w:trPr>
              <w:tc>
                <w:tcPr>
                  <w:tcW w:w="2248" w:type="dxa"/>
                  <w:vMerge/>
                  <w:tcBorders>
                    <w:top w:val="single" w:sz="4" w:space="0" w:color="auto"/>
                    <w:left w:val="nil"/>
                    <w:bottom w:val="single" w:sz="4" w:space="0" w:color="000000"/>
                    <w:right w:val="nil"/>
                  </w:tcBorders>
                  <w:vAlign w:val="center"/>
                  <w:hideMark/>
                </w:tcPr>
                <w:p w14:paraId="02594FC3" w14:textId="77777777" w:rsidR="00FE5AC3" w:rsidRPr="00FE5AC3" w:rsidRDefault="00FE5AC3" w:rsidP="00FE5AC3">
                  <w:pPr>
                    <w:spacing w:line="240" w:lineRule="auto"/>
                    <w:rPr>
                      <w:rFonts w:ascii="Arial" w:hAnsi="Arial"/>
                      <w:b/>
                      <w:color w:val="000000"/>
                      <w:kern w:val="0"/>
                      <w:sz w:val="16"/>
                      <w:szCs w:val="16"/>
                    </w:rPr>
                  </w:pPr>
                </w:p>
              </w:tc>
              <w:tc>
                <w:tcPr>
                  <w:tcW w:w="1743" w:type="dxa"/>
                  <w:tcBorders>
                    <w:top w:val="nil"/>
                    <w:left w:val="nil"/>
                    <w:bottom w:val="single" w:sz="4" w:space="0" w:color="auto"/>
                    <w:right w:val="nil"/>
                  </w:tcBorders>
                  <w:shd w:val="clear" w:color="auto" w:fill="auto"/>
                  <w:noWrap/>
                  <w:vAlign w:val="center"/>
                  <w:hideMark/>
                </w:tcPr>
                <w:p w14:paraId="3755A71C"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Oranti-obtusin</w:t>
                  </w:r>
                </w:p>
              </w:tc>
              <w:tc>
                <w:tcPr>
                  <w:tcW w:w="975" w:type="dxa"/>
                  <w:tcBorders>
                    <w:top w:val="nil"/>
                    <w:left w:val="nil"/>
                    <w:bottom w:val="single" w:sz="4" w:space="0" w:color="auto"/>
                    <w:right w:val="nil"/>
                  </w:tcBorders>
                  <w:shd w:val="clear" w:color="auto" w:fill="auto"/>
                  <w:noWrap/>
                  <w:vAlign w:val="center"/>
                  <w:hideMark/>
                </w:tcPr>
                <w:p w14:paraId="6BF8AAA6"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Emodin</w:t>
                  </w:r>
                </w:p>
              </w:tc>
              <w:tc>
                <w:tcPr>
                  <w:tcW w:w="1702" w:type="dxa"/>
                  <w:tcBorders>
                    <w:top w:val="nil"/>
                    <w:left w:val="nil"/>
                    <w:bottom w:val="single" w:sz="4" w:space="0" w:color="auto"/>
                    <w:right w:val="nil"/>
                  </w:tcBorders>
                  <w:shd w:val="clear" w:color="auto" w:fill="auto"/>
                  <w:noWrap/>
                  <w:vAlign w:val="center"/>
                  <w:hideMark/>
                </w:tcPr>
                <w:p w14:paraId="3DB78C1B"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Chrysophanol</w:t>
                  </w:r>
                </w:p>
              </w:tc>
              <w:tc>
                <w:tcPr>
                  <w:tcW w:w="1139" w:type="dxa"/>
                  <w:tcBorders>
                    <w:top w:val="nil"/>
                    <w:left w:val="nil"/>
                    <w:bottom w:val="single" w:sz="4" w:space="0" w:color="auto"/>
                    <w:right w:val="nil"/>
                  </w:tcBorders>
                  <w:shd w:val="clear" w:color="auto" w:fill="auto"/>
                  <w:noWrap/>
                  <w:vAlign w:val="center"/>
                  <w:hideMark/>
                </w:tcPr>
                <w:p w14:paraId="4586AD91"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Physcion</w:t>
                  </w:r>
                </w:p>
              </w:tc>
              <w:tc>
                <w:tcPr>
                  <w:tcW w:w="731" w:type="dxa"/>
                  <w:tcBorders>
                    <w:top w:val="nil"/>
                    <w:left w:val="nil"/>
                    <w:bottom w:val="single" w:sz="4" w:space="0" w:color="auto"/>
                    <w:right w:val="nil"/>
                  </w:tcBorders>
                  <w:shd w:val="clear" w:color="auto" w:fill="auto"/>
                  <w:noWrap/>
                  <w:vAlign w:val="center"/>
                  <w:hideMark/>
                </w:tcPr>
                <w:p w14:paraId="5ABD71A2" w14:textId="77777777" w:rsidR="00FE5AC3" w:rsidRPr="00FE5AC3" w:rsidRDefault="00FE5AC3" w:rsidP="00FE5AC3">
                  <w:pPr>
                    <w:spacing w:line="240" w:lineRule="auto"/>
                    <w:jc w:val="center"/>
                    <w:rPr>
                      <w:rFonts w:ascii="Arial" w:hAnsi="Arial"/>
                      <w:b/>
                      <w:color w:val="000000"/>
                      <w:kern w:val="0"/>
                      <w:sz w:val="16"/>
                      <w:szCs w:val="16"/>
                    </w:rPr>
                  </w:pPr>
                  <w:r w:rsidRPr="00FE5AC3">
                    <w:rPr>
                      <w:rFonts w:ascii="Arial" w:hAnsi="Arial"/>
                      <w:b/>
                      <w:color w:val="000000"/>
                      <w:kern w:val="0"/>
                      <w:sz w:val="16"/>
                      <w:szCs w:val="16"/>
                    </w:rPr>
                    <w:t>Total</w:t>
                  </w:r>
                </w:p>
              </w:tc>
            </w:tr>
            <w:tr w:rsidR="00FE5AC3" w:rsidRPr="00FE5AC3" w14:paraId="1E6D6366" w14:textId="77777777" w:rsidTr="00FE5AC3">
              <w:trPr>
                <w:trHeight w:val="306"/>
              </w:trPr>
              <w:tc>
                <w:tcPr>
                  <w:tcW w:w="2248" w:type="dxa"/>
                  <w:tcBorders>
                    <w:top w:val="nil"/>
                    <w:left w:val="nil"/>
                    <w:bottom w:val="nil"/>
                    <w:right w:val="nil"/>
                  </w:tcBorders>
                  <w:shd w:val="clear" w:color="auto" w:fill="auto"/>
                  <w:noWrap/>
                  <w:vAlign w:val="center"/>
                  <w:hideMark/>
                </w:tcPr>
                <w:p w14:paraId="6906BD80"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A</w:t>
                  </w:r>
                </w:p>
              </w:tc>
              <w:tc>
                <w:tcPr>
                  <w:tcW w:w="1743" w:type="dxa"/>
                  <w:tcBorders>
                    <w:top w:val="nil"/>
                    <w:left w:val="nil"/>
                    <w:bottom w:val="nil"/>
                    <w:right w:val="nil"/>
                  </w:tcBorders>
                  <w:shd w:val="clear" w:color="auto" w:fill="auto"/>
                  <w:noWrap/>
                  <w:vAlign w:val="center"/>
                  <w:hideMark/>
                </w:tcPr>
                <w:p w14:paraId="42A0BA55"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975" w:type="dxa"/>
                  <w:tcBorders>
                    <w:top w:val="nil"/>
                    <w:left w:val="nil"/>
                    <w:bottom w:val="nil"/>
                    <w:right w:val="nil"/>
                  </w:tcBorders>
                  <w:shd w:val="clear" w:color="auto" w:fill="auto"/>
                  <w:noWrap/>
                  <w:vAlign w:val="center"/>
                  <w:hideMark/>
                </w:tcPr>
                <w:p w14:paraId="2B1918C3"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702" w:type="dxa"/>
                  <w:tcBorders>
                    <w:top w:val="nil"/>
                    <w:left w:val="nil"/>
                    <w:bottom w:val="nil"/>
                    <w:right w:val="nil"/>
                  </w:tcBorders>
                  <w:shd w:val="clear" w:color="auto" w:fill="auto"/>
                  <w:noWrap/>
                  <w:vAlign w:val="center"/>
                  <w:hideMark/>
                </w:tcPr>
                <w:p w14:paraId="7CD7A80F"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139" w:type="dxa"/>
                  <w:tcBorders>
                    <w:top w:val="nil"/>
                    <w:left w:val="nil"/>
                    <w:bottom w:val="nil"/>
                    <w:right w:val="nil"/>
                  </w:tcBorders>
                  <w:shd w:val="clear" w:color="auto" w:fill="auto"/>
                  <w:noWrap/>
                  <w:vAlign w:val="center"/>
                  <w:hideMark/>
                </w:tcPr>
                <w:p w14:paraId="785742A1"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731" w:type="dxa"/>
                  <w:tcBorders>
                    <w:top w:val="nil"/>
                    <w:left w:val="nil"/>
                    <w:bottom w:val="nil"/>
                    <w:right w:val="nil"/>
                  </w:tcBorders>
                  <w:shd w:val="clear" w:color="auto" w:fill="auto"/>
                  <w:noWrap/>
                  <w:vAlign w:val="center"/>
                  <w:hideMark/>
                </w:tcPr>
                <w:p w14:paraId="46A40C01"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r>
            <w:tr w:rsidR="00FE5AC3" w:rsidRPr="00FE5AC3" w14:paraId="2C436208" w14:textId="77777777" w:rsidTr="00FE5AC3">
              <w:trPr>
                <w:trHeight w:val="306"/>
              </w:trPr>
              <w:tc>
                <w:tcPr>
                  <w:tcW w:w="2248" w:type="dxa"/>
                  <w:tcBorders>
                    <w:top w:val="nil"/>
                    <w:left w:val="nil"/>
                    <w:bottom w:val="nil"/>
                    <w:right w:val="nil"/>
                  </w:tcBorders>
                  <w:shd w:val="clear" w:color="auto" w:fill="auto"/>
                  <w:noWrap/>
                  <w:vAlign w:val="center"/>
                  <w:hideMark/>
                </w:tcPr>
                <w:p w14:paraId="658AFC25"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lastRenderedPageBreak/>
                    <w:t>B</w:t>
                  </w:r>
                </w:p>
              </w:tc>
              <w:tc>
                <w:tcPr>
                  <w:tcW w:w="1743" w:type="dxa"/>
                  <w:tcBorders>
                    <w:top w:val="nil"/>
                    <w:left w:val="nil"/>
                    <w:bottom w:val="nil"/>
                    <w:right w:val="nil"/>
                  </w:tcBorders>
                  <w:shd w:val="clear" w:color="auto" w:fill="auto"/>
                  <w:noWrap/>
                  <w:vAlign w:val="center"/>
                  <w:hideMark/>
                </w:tcPr>
                <w:p w14:paraId="1FF80B35"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975" w:type="dxa"/>
                  <w:tcBorders>
                    <w:top w:val="nil"/>
                    <w:left w:val="nil"/>
                    <w:bottom w:val="nil"/>
                    <w:right w:val="nil"/>
                  </w:tcBorders>
                  <w:shd w:val="clear" w:color="auto" w:fill="auto"/>
                  <w:noWrap/>
                  <w:vAlign w:val="center"/>
                  <w:hideMark/>
                </w:tcPr>
                <w:p w14:paraId="09D2BC16"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702" w:type="dxa"/>
                  <w:tcBorders>
                    <w:top w:val="nil"/>
                    <w:left w:val="nil"/>
                    <w:bottom w:val="nil"/>
                    <w:right w:val="nil"/>
                  </w:tcBorders>
                  <w:shd w:val="clear" w:color="auto" w:fill="auto"/>
                  <w:noWrap/>
                  <w:vAlign w:val="center"/>
                  <w:hideMark/>
                </w:tcPr>
                <w:p w14:paraId="74864492"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139" w:type="dxa"/>
                  <w:tcBorders>
                    <w:top w:val="nil"/>
                    <w:left w:val="nil"/>
                    <w:bottom w:val="nil"/>
                    <w:right w:val="nil"/>
                  </w:tcBorders>
                  <w:shd w:val="clear" w:color="auto" w:fill="auto"/>
                  <w:noWrap/>
                  <w:vAlign w:val="center"/>
                  <w:hideMark/>
                </w:tcPr>
                <w:p w14:paraId="5E019829"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731" w:type="dxa"/>
                  <w:tcBorders>
                    <w:top w:val="nil"/>
                    <w:left w:val="nil"/>
                    <w:bottom w:val="nil"/>
                    <w:right w:val="nil"/>
                  </w:tcBorders>
                  <w:shd w:val="clear" w:color="auto" w:fill="auto"/>
                  <w:noWrap/>
                  <w:vAlign w:val="center"/>
                  <w:hideMark/>
                </w:tcPr>
                <w:p w14:paraId="7E37584C"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r>
            <w:tr w:rsidR="00FE5AC3" w:rsidRPr="00FE5AC3" w14:paraId="490D5644" w14:textId="77777777" w:rsidTr="00FE5AC3">
              <w:trPr>
                <w:trHeight w:val="306"/>
              </w:trPr>
              <w:tc>
                <w:tcPr>
                  <w:tcW w:w="2248" w:type="dxa"/>
                  <w:tcBorders>
                    <w:top w:val="nil"/>
                    <w:left w:val="nil"/>
                    <w:bottom w:val="nil"/>
                    <w:right w:val="nil"/>
                  </w:tcBorders>
                  <w:shd w:val="clear" w:color="auto" w:fill="auto"/>
                  <w:noWrap/>
                  <w:vAlign w:val="center"/>
                  <w:hideMark/>
                </w:tcPr>
                <w:p w14:paraId="3014A1A7"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C</w:t>
                  </w:r>
                </w:p>
              </w:tc>
              <w:tc>
                <w:tcPr>
                  <w:tcW w:w="1743" w:type="dxa"/>
                  <w:tcBorders>
                    <w:top w:val="nil"/>
                    <w:left w:val="nil"/>
                    <w:bottom w:val="nil"/>
                    <w:right w:val="nil"/>
                  </w:tcBorders>
                  <w:shd w:val="clear" w:color="auto" w:fill="auto"/>
                  <w:noWrap/>
                  <w:vAlign w:val="center"/>
                  <w:hideMark/>
                </w:tcPr>
                <w:p w14:paraId="228A47DB"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975" w:type="dxa"/>
                  <w:tcBorders>
                    <w:top w:val="nil"/>
                    <w:left w:val="nil"/>
                    <w:bottom w:val="nil"/>
                    <w:right w:val="nil"/>
                  </w:tcBorders>
                  <w:shd w:val="clear" w:color="auto" w:fill="auto"/>
                  <w:noWrap/>
                  <w:vAlign w:val="center"/>
                  <w:hideMark/>
                </w:tcPr>
                <w:p w14:paraId="2DF35B46"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702" w:type="dxa"/>
                  <w:tcBorders>
                    <w:top w:val="nil"/>
                    <w:left w:val="nil"/>
                    <w:bottom w:val="nil"/>
                    <w:right w:val="nil"/>
                  </w:tcBorders>
                  <w:shd w:val="clear" w:color="auto" w:fill="auto"/>
                  <w:noWrap/>
                  <w:vAlign w:val="center"/>
                  <w:hideMark/>
                </w:tcPr>
                <w:p w14:paraId="6C01678A"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1139" w:type="dxa"/>
                  <w:tcBorders>
                    <w:top w:val="nil"/>
                    <w:left w:val="nil"/>
                    <w:bottom w:val="nil"/>
                    <w:right w:val="nil"/>
                  </w:tcBorders>
                  <w:shd w:val="clear" w:color="auto" w:fill="auto"/>
                  <w:noWrap/>
                  <w:vAlign w:val="center"/>
                  <w:hideMark/>
                </w:tcPr>
                <w:p w14:paraId="0CEE148B"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c>
                <w:tcPr>
                  <w:tcW w:w="731" w:type="dxa"/>
                  <w:tcBorders>
                    <w:top w:val="nil"/>
                    <w:left w:val="nil"/>
                    <w:bottom w:val="nil"/>
                    <w:right w:val="nil"/>
                  </w:tcBorders>
                  <w:shd w:val="clear" w:color="auto" w:fill="auto"/>
                  <w:noWrap/>
                  <w:vAlign w:val="center"/>
                  <w:hideMark/>
                </w:tcPr>
                <w:p w14:paraId="2496D245"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w:t>
                  </w:r>
                </w:p>
              </w:tc>
            </w:tr>
            <w:tr w:rsidR="00FE5AC3" w:rsidRPr="00FE5AC3" w14:paraId="3C078B0A" w14:textId="77777777" w:rsidTr="00FE5AC3">
              <w:trPr>
                <w:trHeight w:val="306"/>
              </w:trPr>
              <w:tc>
                <w:tcPr>
                  <w:tcW w:w="2248" w:type="dxa"/>
                  <w:tcBorders>
                    <w:top w:val="nil"/>
                    <w:left w:val="nil"/>
                    <w:bottom w:val="nil"/>
                    <w:right w:val="nil"/>
                  </w:tcBorders>
                  <w:shd w:val="clear" w:color="auto" w:fill="auto"/>
                  <w:noWrap/>
                  <w:vAlign w:val="center"/>
                  <w:hideMark/>
                </w:tcPr>
                <w:p w14:paraId="1FB34732"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D</w:t>
                  </w:r>
                </w:p>
              </w:tc>
              <w:tc>
                <w:tcPr>
                  <w:tcW w:w="1743" w:type="dxa"/>
                  <w:tcBorders>
                    <w:top w:val="nil"/>
                    <w:left w:val="nil"/>
                    <w:bottom w:val="nil"/>
                    <w:right w:val="nil"/>
                  </w:tcBorders>
                  <w:shd w:val="clear" w:color="auto" w:fill="auto"/>
                  <w:noWrap/>
                  <w:vAlign w:val="center"/>
                  <w:hideMark/>
                </w:tcPr>
                <w:p w14:paraId="3BBF107F"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13.81</w:t>
                  </w:r>
                </w:p>
              </w:tc>
              <w:tc>
                <w:tcPr>
                  <w:tcW w:w="975" w:type="dxa"/>
                  <w:tcBorders>
                    <w:top w:val="nil"/>
                    <w:left w:val="nil"/>
                    <w:bottom w:val="nil"/>
                    <w:right w:val="nil"/>
                  </w:tcBorders>
                  <w:shd w:val="clear" w:color="auto" w:fill="auto"/>
                  <w:noWrap/>
                  <w:vAlign w:val="center"/>
                  <w:hideMark/>
                </w:tcPr>
                <w:p w14:paraId="2BE8AEFB"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0.6</w:t>
                  </w:r>
                </w:p>
              </w:tc>
              <w:tc>
                <w:tcPr>
                  <w:tcW w:w="1702" w:type="dxa"/>
                  <w:tcBorders>
                    <w:top w:val="nil"/>
                    <w:left w:val="nil"/>
                    <w:bottom w:val="nil"/>
                    <w:right w:val="nil"/>
                  </w:tcBorders>
                  <w:shd w:val="clear" w:color="auto" w:fill="auto"/>
                  <w:noWrap/>
                  <w:vAlign w:val="center"/>
                  <w:hideMark/>
                </w:tcPr>
                <w:p w14:paraId="188D9AAB"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1.02</w:t>
                  </w:r>
                </w:p>
              </w:tc>
              <w:tc>
                <w:tcPr>
                  <w:tcW w:w="1139" w:type="dxa"/>
                  <w:tcBorders>
                    <w:top w:val="nil"/>
                    <w:left w:val="nil"/>
                    <w:bottom w:val="nil"/>
                    <w:right w:val="nil"/>
                  </w:tcBorders>
                  <w:shd w:val="clear" w:color="auto" w:fill="auto"/>
                  <w:noWrap/>
                  <w:vAlign w:val="center"/>
                  <w:hideMark/>
                </w:tcPr>
                <w:p w14:paraId="0B73508A"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0.22</w:t>
                  </w:r>
                </w:p>
              </w:tc>
              <w:tc>
                <w:tcPr>
                  <w:tcW w:w="731" w:type="dxa"/>
                  <w:tcBorders>
                    <w:top w:val="nil"/>
                    <w:left w:val="nil"/>
                    <w:bottom w:val="nil"/>
                    <w:right w:val="nil"/>
                  </w:tcBorders>
                  <w:shd w:val="clear" w:color="auto" w:fill="auto"/>
                  <w:noWrap/>
                  <w:vAlign w:val="center"/>
                  <w:hideMark/>
                </w:tcPr>
                <w:p w14:paraId="61E57D5F"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15.65</w:t>
                  </w:r>
                </w:p>
              </w:tc>
            </w:tr>
            <w:tr w:rsidR="00FE5AC3" w:rsidRPr="00FE5AC3" w14:paraId="6B67C5DE" w14:textId="77777777" w:rsidTr="00FE5AC3">
              <w:trPr>
                <w:trHeight w:val="306"/>
              </w:trPr>
              <w:tc>
                <w:tcPr>
                  <w:tcW w:w="2248" w:type="dxa"/>
                  <w:tcBorders>
                    <w:top w:val="nil"/>
                    <w:left w:val="nil"/>
                    <w:bottom w:val="nil"/>
                    <w:right w:val="nil"/>
                  </w:tcBorders>
                  <w:shd w:val="clear" w:color="auto" w:fill="auto"/>
                  <w:noWrap/>
                  <w:vAlign w:val="center"/>
                  <w:hideMark/>
                </w:tcPr>
                <w:p w14:paraId="086DDD32"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E</w:t>
                  </w:r>
                </w:p>
              </w:tc>
              <w:tc>
                <w:tcPr>
                  <w:tcW w:w="1743" w:type="dxa"/>
                  <w:tcBorders>
                    <w:top w:val="nil"/>
                    <w:left w:val="nil"/>
                    <w:bottom w:val="nil"/>
                    <w:right w:val="nil"/>
                  </w:tcBorders>
                  <w:shd w:val="clear" w:color="auto" w:fill="auto"/>
                  <w:noWrap/>
                  <w:vAlign w:val="center"/>
                  <w:hideMark/>
                </w:tcPr>
                <w:p w14:paraId="79CB837A"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0.38</w:t>
                  </w:r>
                </w:p>
              </w:tc>
              <w:tc>
                <w:tcPr>
                  <w:tcW w:w="975" w:type="dxa"/>
                  <w:tcBorders>
                    <w:top w:val="nil"/>
                    <w:left w:val="nil"/>
                    <w:bottom w:val="nil"/>
                    <w:right w:val="nil"/>
                  </w:tcBorders>
                  <w:shd w:val="clear" w:color="auto" w:fill="auto"/>
                  <w:noWrap/>
                  <w:vAlign w:val="center"/>
                  <w:hideMark/>
                </w:tcPr>
                <w:p w14:paraId="0F7FE7FE"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0.11</w:t>
                  </w:r>
                </w:p>
              </w:tc>
              <w:tc>
                <w:tcPr>
                  <w:tcW w:w="1702" w:type="dxa"/>
                  <w:tcBorders>
                    <w:top w:val="nil"/>
                    <w:left w:val="nil"/>
                    <w:bottom w:val="nil"/>
                    <w:right w:val="nil"/>
                  </w:tcBorders>
                  <w:shd w:val="clear" w:color="auto" w:fill="auto"/>
                  <w:noWrap/>
                  <w:vAlign w:val="center"/>
                  <w:hideMark/>
                </w:tcPr>
                <w:p w14:paraId="38F3BABD"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0.43</w:t>
                  </w:r>
                </w:p>
              </w:tc>
              <w:tc>
                <w:tcPr>
                  <w:tcW w:w="1139" w:type="dxa"/>
                  <w:tcBorders>
                    <w:top w:val="nil"/>
                    <w:left w:val="nil"/>
                    <w:bottom w:val="nil"/>
                    <w:right w:val="nil"/>
                  </w:tcBorders>
                  <w:shd w:val="clear" w:color="auto" w:fill="auto"/>
                  <w:noWrap/>
                  <w:vAlign w:val="center"/>
                  <w:hideMark/>
                </w:tcPr>
                <w:p w14:paraId="794FB8BA"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0.24</w:t>
                  </w:r>
                </w:p>
              </w:tc>
              <w:tc>
                <w:tcPr>
                  <w:tcW w:w="731" w:type="dxa"/>
                  <w:tcBorders>
                    <w:top w:val="nil"/>
                    <w:left w:val="nil"/>
                    <w:bottom w:val="nil"/>
                    <w:right w:val="nil"/>
                  </w:tcBorders>
                  <w:shd w:val="clear" w:color="auto" w:fill="auto"/>
                  <w:noWrap/>
                  <w:vAlign w:val="center"/>
                  <w:hideMark/>
                </w:tcPr>
                <w:p w14:paraId="026EB022"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1.16</w:t>
                  </w:r>
                </w:p>
              </w:tc>
            </w:tr>
            <w:tr w:rsidR="00FE5AC3" w:rsidRPr="00FE5AC3" w14:paraId="5DEF4E70" w14:textId="77777777" w:rsidTr="00FE5AC3">
              <w:trPr>
                <w:trHeight w:val="306"/>
              </w:trPr>
              <w:tc>
                <w:tcPr>
                  <w:tcW w:w="2248" w:type="dxa"/>
                  <w:tcBorders>
                    <w:top w:val="nil"/>
                    <w:left w:val="nil"/>
                    <w:bottom w:val="single" w:sz="4" w:space="0" w:color="auto"/>
                    <w:right w:val="nil"/>
                  </w:tcBorders>
                  <w:shd w:val="clear" w:color="auto" w:fill="auto"/>
                  <w:noWrap/>
                  <w:vAlign w:val="center"/>
                  <w:hideMark/>
                </w:tcPr>
                <w:p w14:paraId="071EB45D"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F</w:t>
                  </w:r>
                </w:p>
              </w:tc>
              <w:tc>
                <w:tcPr>
                  <w:tcW w:w="1743" w:type="dxa"/>
                  <w:tcBorders>
                    <w:top w:val="nil"/>
                    <w:left w:val="nil"/>
                    <w:bottom w:val="single" w:sz="4" w:space="0" w:color="auto"/>
                    <w:right w:val="nil"/>
                  </w:tcBorders>
                  <w:shd w:val="clear" w:color="auto" w:fill="auto"/>
                  <w:noWrap/>
                  <w:vAlign w:val="center"/>
                  <w:hideMark/>
                </w:tcPr>
                <w:p w14:paraId="3FFA0EC1"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0.34</w:t>
                  </w:r>
                </w:p>
              </w:tc>
              <w:tc>
                <w:tcPr>
                  <w:tcW w:w="975" w:type="dxa"/>
                  <w:tcBorders>
                    <w:top w:val="nil"/>
                    <w:left w:val="nil"/>
                    <w:bottom w:val="single" w:sz="4" w:space="0" w:color="auto"/>
                    <w:right w:val="nil"/>
                  </w:tcBorders>
                  <w:shd w:val="clear" w:color="auto" w:fill="auto"/>
                  <w:noWrap/>
                  <w:vAlign w:val="center"/>
                  <w:hideMark/>
                </w:tcPr>
                <w:p w14:paraId="7714DA13"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0.08</w:t>
                  </w:r>
                </w:p>
              </w:tc>
              <w:tc>
                <w:tcPr>
                  <w:tcW w:w="1702" w:type="dxa"/>
                  <w:tcBorders>
                    <w:top w:val="nil"/>
                    <w:left w:val="nil"/>
                    <w:bottom w:val="single" w:sz="4" w:space="0" w:color="auto"/>
                    <w:right w:val="nil"/>
                  </w:tcBorders>
                  <w:shd w:val="clear" w:color="auto" w:fill="auto"/>
                  <w:noWrap/>
                  <w:vAlign w:val="center"/>
                  <w:hideMark/>
                </w:tcPr>
                <w:p w14:paraId="75FF148B"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0.35</w:t>
                  </w:r>
                </w:p>
              </w:tc>
              <w:tc>
                <w:tcPr>
                  <w:tcW w:w="1139" w:type="dxa"/>
                  <w:tcBorders>
                    <w:top w:val="nil"/>
                    <w:left w:val="nil"/>
                    <w:bottom w:val="single" w:sz="4" w:space="0" w:color="auto"/>
                    <w:right w:val="nil"/>
                  </w:tcBorders>
                  <w:shd w:val="clear" w:color="auto" w:fill="auto"/>
                  <w:noWrap/>
                  <w:vAlign w:val="center"/>
                  <w:hideMark/>
                </w:tcPr>
                <w:p w14:paraId="55C40C42"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0.35</w:t>
                  </w:r>
                </w:p>
              </w:tc>
              <w:tc>
                <w:tcPr>
                  <w:tcW w:w="731" w:type="dxa"/>
                  <w:tcBorders>
                    <w:top w:val="nil"/>
                    <w:left w:val="nil"/>
                    <w:bottom w:val="single" w:sz="4" w:space="0" w:color="auto"/>
                    <w:right w:val="nil"/>
                  </w:tcBorders>
                  <w:shd w:val="clear" w:color="auto" w:fill="auto"/>
                  <w:noWrap/>
                  <w:vAlign w:val="center"/>
                  <w:hideMark/>
                </w:tcPr>
                <w:p w14:paraId="5D17323E" w14:textId="77777777" w:rsidR="00FE5AC3" w:rsidRPr="00FE5AC3" w:rsidRDefault="00FE5AC3" w:rsidP="00FE5AC3">
                  <w:pPr>
                    <w:spacing w:line="240" w:lineRule="auto"/>
                    <w:jc w:val="center"/>
                    <w:rPr>
                      <w:rFonts w:ascii="Arial" w:hAnsi="Arial"/>
                      <w:bCs w:val="0"/>
                      <w:color w:val="000000"/>
                      <w:kern w:val="0"/>
                      <w:sz w:val="16"/>
                      <w:szCs w:val="16"/>
                    </w:rPr>
                  </w:pPr>
                  <w:r w:rsidRPr="00FE5AC3">
                    <w:rPr>
                      <w:rFonts w:ascii="Arial" w:hAnsi="Arial"/>
                      <w:bCs w:val="0"/>
                      <w:color w:val="000000"/>
                      <w:kern w:val="0"/>
                      <w:sz w:val="16"/>
                      <w:szCs w:val="16"/>
                    </w:rPr>
                    <w:t>1.12</w:t>
                  </w:r>
                </w:p>
              </w:tc>
            </w:tr>
          </w:tbl>
          <w:p w14:paraId="54F9ADFA" w14:textId="77777777" w:rsidR="00FE5AC3" w:rsidRDefault="00FE5AC3" w:rsidP="00FE5AC3">
            <w:pPr>
              <w:pStyle w:val="ListParagraph"/>
              <w:ind w:left="360"/>
              <w:rPr>
                <w:rFonts w:ascii="Arial" w:hAnsi="Arial"/>
              </w:rPr>
            </w:pPr>
          </w:p>
          <w:p w14:paraId="47E02A7D" w14:textId="249A77FB" w:rsidR="00FE5AC3" w:rsidRPr="00FE5AC3" w:rsidRDefault="00FE5AC3" w:rsidP="00FE5AC3">
            <w:pPr>
              <w:pStyle w:val="ListParagraph"/>
              <w:ind w:left="360"/>
              <w:rPr>
                <w:rFonts w:ascii="Arial" w:hAnsi="Arial"/>
              </w:rPr>
            </w:pPr>
            <w:r w:rsidRPr="00FE5AC3">
              <w:rPr>
                <w:rFonts w:ascii="Arial" w:hAnsi="Arial"/>
              </w:rPr>
              <w:t>Fraction D shows the highest total anthraquinone content among all fractions, with a total of 15.65%. This fraction is particularly rich in Oranti-obtusin (13.81%), which is the dominant anthraquinone compound in this fraction. Emodin, Chrysophanol, and Physcion are also present but in smaller quantities.</w:t>
            </w:r>
            <w:r w:rsidRPr="00FE5AC3">
              <w:rPr>
                <w:rFonts w:ascii="Arial" w:hAnsi="Arial"/>
              </w:rPr>
              <w:t xml:space="preserve"> </w:t>
            </w:r>
            <w:r w:rsidRPr="00FE5AC3">
              <w:rPr>
                <w:rFonts w:ascii="Arial" w:hAnsi="Arial"/>
              </w:rPr>
              <w:t>Fractions E and F also contain some anthraquinone compounds, but their overall percentages are much lower compared to Fraction D. These fractions may still contribute to the allelopathic properties of sicklepod, albeit to a lesser extent.</w:t>
            </w:r>
            <w:r w:rsidRPr="00FE5AC3">
              <w:rPr>
                <w:rFonts w:ascii="Arial" w:hAnsi="Arial"/>
              </w:rPr>
              <w:t xml:space="preserve"> </w:t>
            </w:r>
            <w:r w:rsidRPr="00FE5AC3">
              <w:rPr>
                <w:rFonts w:ascii="Arial" w:hAnsi="Arial"/>
              </w:rPr>
              <w:t>Fractions A, B, and C do not show detectable levels of any of the target anthraquinone compounds. It's possible that these fractions contain other compounds or are not significant contributors to the deer-repellent properties of sicklepod.</w:t>
            </w:r>
          </w:p>
          <w:p w14:paraId="5B988D02" w14:textId="263393F2" w:rsidR="0016704B" w:rsidRDefault="00FE5AC3" w:rsidP="00FE5AC3">
            <w:pPr>
              <w:pStyle w:val="ListParagraph"/>
              <w:ind w:left="360" w:firstLine="353"/>
              <w:rPr>
                <w:rFonts w:ascii="Arial" w:hAnsi="Arial"/>
              </w:rPr>
            </w:pPr>
            <w:r w:rsidRPr="00FE5AC3">
              <w:rPr>
                <w:rFonts w:ascii="Arial" w:hAnsi="Arial"/>
              </w:rPr>
              <w:t>The analysis of sicklepod plant fractions has revealed the presence of anthraquinone compounds, with Fraction D having the highest content of these compounds. Oranti-obtusin is the predominant anthraquinone in Fraction D, indicating its potential role in the allelopathic and deer-repellent properties of sicklepod. Further research can explore the practical applications of these findings in agriculture and weed management.</w:t>
            </w:r>
            <w:r w:rsidRPr="00FE5AC3">
              <w:rPr>
                <w:rFonts w:ascii="Arial" w:hAnsi="Arial"/>
              </w:rPr>
              <w:t xml:space="preserve"> </w:t>
            </w:r>
            <w:r w:rsidRPr="00FE5AC3">
              <w:rPr>
                <w:rFonts w:ascii="Arial" w:hAnsi="Arial"/>
              </w:rPr>
              <w:t>These results provide valuable insights into the chemical composition of sicklepod, contributing to our understanding of its allelopathic effects and potential uses in agriculture.</w:t>
            </w:r>
          </w:p>
          <w:p w14:paraId="00889723" w14:textId="77777777" w:rsidR="00FE5AC3" w:rsidRPr="00FE5AC3" w:rsidRDefault="00FE5AC3" w:rsidP="00FE5AC3">
            <w:pPr>
              <w:pStyle w:val="ListParagraph"/>
              <w:ind w:left="360" w:firstLine="353"/>
              <w:rPr>
                <w:rFonts w:ascii="Arial" w:hAnsi="Arial"/>
              </w:rPr>
            </w:pPr>
          </w:p>
          <w:p w14:paraId="2776750A" w14:textId="311AD746" w:rsidR="0016704B" w:rsidRPr="00FE5AC3" w:rsidRDefault="0016704B" w:rsidP="00FE5AC3">
            <w:pPr>
              <w:pStyle w:val="ListParagraph"/>
              <w:numPr>
                <w:ilvl w:val="0"/>
                <w:numId w:val="47"/>
              </w:numPr>
              <w:spacing w:line="360" w:lineRule="auto"/>
              <w:ind w:left="360"/>
              <w:rPr>
                <w:rFonts w:ascii="Arial" w:hAnsi="Arial"/>
              </w:rPr>
            </w:pPr>
            <w:r w:rsidRPr="00FE5AC3">
              <w:rPr>
                <w:rFonts w:ascii="Arial" w:hAnsi="Arial"/>
                <w:b/>
                <w:bCs w:val="0"/>
              </w:rPr>
              <w:t>Conduct quantitative trait loci analysis to identify molecular markers associated with anti-herbivory compounds in weeds</w:t>
            </w:r>
            <w:r w:rsidRPr="00FE5AC3">
              <w:rPr>
                <w:rFonts w:ascii="Arial" w:hAnsi="Arial"/>
              </w:rPr>
              <w:t>:</w:t>
            </w:r>
            <w:r w:rsidR="00FE5AC3">
              <w:rPr>
                <w:rFonts w:ascii="Arial" w:hAnsi="Arial"/>
              </w:rPr>
              <w:t xml:space="preserve"> </w:t>
            </w:r>
            <w:r w:rsidR="00E55DB0" w:rsidRPr="00E55DB0">
              <w:rPr>
                <w:rFonts w:ascii="Arial" w:hAnsi="Arial"/>
              </w:rPr>
              <w:t>Presently, we have initiated the screening of a subset comprising 10 simple sequence repeat (SSR) markers, with intentions to broaden this screening effort in forthcoming months. DNA isolation from leaves followed, and polymerase chain reaction was used to facilitate amplification of genetic regions corresponding to the target anti-herbivore compound(s) as identified within objective 3. It's important to note that the statistical analysis of these markers and, consequently, the linkage analysis to anti-herbivory traits, have not been conducted at this stage. These highly promising markers will continue to serve as pivotal components in subsequent greenhouse-based breeding experiments, aimed at the meticulous selection of soybean lines characterized by the coveted anti-herbivory trait(s).</w:t>
            </w:r>
          </w:p>
        </w:tc>
      </w:tr>
      <w:tr w:rsidR="00FE5AC3" w14:paraId="2852CB6F" w14:textId="77777777" w:rsidTr="00CF2A30">
        <w:trPr>
          <w:trHeight w:val="2206"/>
        </w:trPr>
        <w:tc>
          <w:tcPr>
            <w:tcW w:w="8727" w:type="dxa"/>
            <w:gridSpan w:val="2"/>
            <w:tcMar>
              <w:top w:w="43" w:type="dxa"/>
              <w:left w:w="0" w:type="dxa"/>
              <w:bottom w:w="43" w:type="dxa"/>
              <w:right w:w="0" w:type="dxa"/>
            </w:tcMar>
          </w:tcPr>
          <w:p w14:paraId="24A35078" w14:textId="77777777" w:rsidR="00FE5AC3" w:rsidRDefault="00FE5AC3" w:rsidP="00E82042">
            <w:pPr>
              <w:spacing w:line="360" w:lineRule="auto"/>
              <w:rPr>
                <w:rFonts w:ascii="Arial" w:hAnsi="Arial"/>
              </w:rPr>
            </w:pPr>
          </w:p>
        </w:tc>
      </w:tr>
    </w:tbl>
    <w:p w14:paraId="03C35FBC" w14:textId="77777777" w:rsidR="0025429E" w:rsidRDefault="0025429E" w:rsidP="00E814B8"/>
    <w:p w14:paraId="793C693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1FA89" w14:textId="77777777" w:rsidR="000D1BD1" w:rsidRDefault="000D1BD1" w:rsidP="00BD1E89">
      <w:pPr>
        <w:spacing w:line="240" w:lineRule="auto"/>
      </w:pPr>
      <w:r>
        <w:separator/>
      </w:r>
    </w:p>
  </w:endnote>
  <w:endnote w:type="continuationSeparator" w:id="0">
    <w:p w14:paraId="2AA56457" w14:textId="77777777" w:rsidR="000D1BD1" w:rsidRDefault="000D1B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9882" w14:textId="77777777" w:rsidR="000D1BD1" w:rsidRDefault="000D1BD1" w:rsidP="00BD1E89">
      <w:pPr>
        <w:spacing w:line="240" w:lineRule="auto"/>
      </w:pPr>
      <w:r>
        <w:separator/>
      </w:r>
    </w:p>
  </w:footnote>
  <w:footnote w:type="continuationSeparator" w:id="0">
    <w:p w14:paraId="44B25062" w14:textId="77777777" w:rsidR="000D1BD1" w:rsidRDefault="000D1B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730E3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157054">
    <w:abstractNumId w:val="22"/>
  </w:num>
  <w:num w:numId="2" w16cid:durableId="750471390">
    <w:abstractNumId w:val="26"/>
  </w:num>
  <w:num w:numId="3" w16cid:durableId="956719581">
    <w:abstractNumId w:val="4"/>
  </w:num>
  <w:num w:numId="4" w16cid:durableId="1478374383">
    <w:abstractNumId w:val="5"/>
  </w:num>
  <w:num w:numId="5" w16cid:durableId="305666727">
    <w:abstractNumId w:val="25"/>
  </w:num>
  <w:num w:numId="6" w16cid:durableId="270476652">
    <w:abstractNumId w:val="14"/>
  </w:num>
  <w:num w:numId="7" w16cid:durableId="1739278110">
    <w:abstractNumId w:val="9"/>
  </w:num>
  <w:num w:numId="8" w16cid:durableId="92937640">
    <w:abstractNumId w:val="29"/>
  </w:num>
  <w:num w:numId="9" w16cid:durableId="1642073395">
    <w:abstractNumId w:val="10"/>
  </w:num>
  <w:num w:numId="10" w16cid:durableId="502932544">
    <w:abstractNumId w:val="13"/>
  </w:num>
  <w:num w:numId="11" w16cid:durableId="742606604">
    <w:abstractNumId w:val="15"/>
  </w:num>
  <w:num w:numId="12" w16cid:durableId="800654635">
    <w:abstractNumId w:val="25"/>
  </w:num>
  <w:num w:numId="13" w16cid:durableId="141510428">
    <w:abstractNumId w:val="21"/>
  </w:num>
  <w:num w:numId="14" w16cid:durableId="184516074">
    <w:abstractNumId w:val="6"/>
  </w:num>
  <w:num w:numId="15" w16cid:durableId="957874891">
    <w:abstractNumId w:val="31"/>
  </w:num>
  <w:num w:numId="16" w16cid:durableId="320156989">
    <w:abstractNumId w:val="20"/>
  </w:num>
  <w:num w:numId="17" w16cid:durableId="882717265">
    <w:abstractNumId w:val="2"/>
  </w:num>
  <w:num w:numId="18" w16cid:durableId="1845826182">
    <w:abstractNumId w:val="18"/>
  </w:num>
  <w:num w:numId="19" w16cid:durableId="1425767075">
    <w:abstractNumId w:val="8"/>
  </w:num>
  <w:num w:numId="20" w16cid:durableId="1242452378">
    <w:abstractNumId w:val="30"/>
  </w:num>
  <w:num w:numId="21" w16cid:durableId="467891975">
    <w:abstractNumId w:val="11"/>
  </w:num>
  <w:num w:numId="22" w16cid:durableId="442040832">
    <w:abstractNumId w:val="16"/>
  </w:num>
  <w:num w:numId="23" w16cid:durableId="2120174762">
    <w:abstractNumId w:val="27"/>
  </w:num>
  <w:num w:numId="24" w16cid:durableId="722945540">
    <w:abstractNumId w:val="14"/>
  </w:num>
  <w:num w:numId="25" w16cid:durableId="977953168">
    <w:abstractNumId w:val="25"/>
  </w:num>
  <w:num w:numId="26" w16cid:durableId="92407332">
    <w:abstractNumId w:val="25"/>
  </w:num>
  <w:num w:numId="27" w16cid:durableId="1411076254">
    <w:abstractNumId w:val="25"/>
  </w:num>
  <w:num w:numId="28" w16cid:durableId="726413805">
    <w:abstractNumId w:val="25"/>
  </w:num>
  <w:num w:numId="29" w16cid:durableId="954825963">
    <w:abstractNumId w:val="14"/>
  </w:num>
  <w:num w:numId="30" w16cid:durableId="306709513">
    <w:abstractNumId w:val="14"/>
  </w:num>
  <w:num w:numId="31" w16cid:durableId="402878000">
    <w:abstractNumId w:val="14"/>
  </w:num>
  <w:num w:numId="32" w16cid:durableId="808861689">
    <w:abstractNumId w:val="14"/>
  </w:num>
  <w:num w:numId="33" w16cid:durableId="1125541988">
    <w:abstractNumId w:val="14"/>
  </w:num>
  <w:num w:numId="34" w16cid:durableId="564075066">
    <w:abstractNumId w:val="25"/>
  </w:num>
  <w:num w:numId="35" w16cid:durableId="428081722">
    <w:abstractNumId w:val="25"/>
  </w:num>
  <w:num w:numId="36" w16cid:durableId="2102019038">
    <w:abstractNumId w:val="33"/>
  </w:num>
  <w:num w:numId="37" w16cid:durableId="482350532">
    <w:abstractNumId w:val="1"/>
  </w:num>
  <w:num w:numId="38" w16cid:durableId="1336954462">
    <w:abstractNumId w:val="0"/>
  </w:num>
  <w:num w:numId="39" w16cid:durableId="637300558">
    <w:abstractNumId w:val="32"/>
  </w:num>
  <w:num w:numId="40" w16cid:durableId="120540231">
    <w:abstractNumId w:val="12"/>
  </w:num>
  <w:num w:numId="41" w16cid:durableId="2141071021">
    <w:abstractNumId w:val="17"/>
  </w:num>
  <w:num w:numId="42" w16cid:durableId="258222332">
    <w:abstractNumId w:val="24"/>
  </w:num>
  <w:num w:numId="43" w16cid:durableId="664282610">
    <w:abstractNumId w:val="3"/>
  </w:num>
  <w:num w:numId="44" w16cid:durableId="1190028340">
    <w:abstractNumId w:val="23"/>
  </w:num>
  <w:num w:numId="45" w16cid:durableId="960264933">
    <w:abstractNumId w:val="28"/>
  </w:num>
  <w:num w:numId="46" w16cid:durableId="641691487">
    <w:abstractNumId w:val="19"/>
  </w:num>
  <w:num w:numId="47" w16cid:durableId="1118259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qQUAWazVYS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4914-EF09-4CAB-8BB0-F024EA72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829</Words>
  <Characters>4763</Characters>
  <Application>Microsoft Office Word</Application>
  <DocSecurity>0</DocSecurity>
  <Lines>95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3</cp:revision>
  <cp:lastPrinted>2015-12-03T22:07:00Z</cp:lastPrinted>
  <dcterms:created xsi:type="dcterms:W3CDTF">2023-09-15T18:46:00Z</dcterms:created>
  <dcterms:modified xsi:type="dcterms:W3CDTF">2023-09-15T19:01:00Z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